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PFE</w:t>
      </w:r>
      <w:r>
        <w:rPr>
          <w:rFonts w:ascii="Calibri" w:hAnsi="Calibri"/>
          <w:b/>
          <w:color w:val="1A2010"/>
          <w:sz w:val="40"/>
        </w:rPr>
        <w:t xml:space="preserve">  Pfizer Inc.</w:t>
      </w:r>
    </w:p>
    <w:p>
      <w:pPr>
        <w:spacing w:after="120"/>
      </w:pPr>
      <w:r>
        <w:rPr>
          <w:rFonts w:ascii="Calibri" w:hAnsi="Calibri"/>
          <w:b/>
          <w:color w:val="6E8450"/>
          <w:sz w:val="18"/>
        </w:rPr>
        <w:t>DIVIDEND SLEEVE · 2026-08-11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Pfizer is a global biopharmaceutical company focused on oncology, immunology, rare diseases, and vaccines. Following the COVID-era revenue peak ($100B+ in FY2022), Pfizer has pivoted toward oncology leadership through the $43B Seagen acquisition (ADC platform) and is advancing an obesity program with meaningful momentum. Q2 2026 showed 18% operational growth of launched and acquired products, and the company raised FY2026 revenue guidance to $59.5B-$62.5B with adjusted EPS of $2.80-$3.00. CEO Albert Bourla has made AI-driven drug discovery a strategic priority, cutting discovery timelines from years to 30 days.</w:t>
      </w:r>
    </w:p>
    <w:p>
      <w:r>
        <w:rPr>
          <w:rFonts w:ascii="Calibri" w:hAnsi="Calibri"/>
          <w:b/>
          <w:color w:val="6E8450"/>
          <w:sz w:val="18"/>
        </w:rPr>
        <w:t>83,000 Employees · https://www.pfizer.com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Pfizer executed one of the most significant product launches in pharmaceutical history with the BNT162b2 COVID vaccine (developed in under a year, generating peak revenue &gt;$37B), followed by the transformative $43B Seagen acquisition in 2023 that repositioned Pfizer as an oncology leader with a best-in-class antibody-drug conjugate (ADC) platform [1]. The obesity program is advancing with meaningful momentum. However, the COVID franchise declined sharply (from $56B combined vaccine/Paxlovid peak to single-digit billions), and Pfizer was late to the GLP-1 obesity opportunity compared to Eli Lilly and Novo Nordisk. AI Deployment (2/2): Pfizer has deployed AI at scale across drug discovery, cutting timelines from years to 30 days and saving 16,000 hours annually in research. Chief AI and Analytics Officer Berta Rodriguez-Hervas co-chairs the AI Council, embedding AI in clinical trial design, supply chain optimization, and molecular targeting through partnerships with CytoReason and CeMM [2]. Market Share (1/2): Pfizer is a top-5 global pharmaceutical company by revenue with leadership positions in oncology ADCs (via Seagen), vaccines, and rare diseases, but faces intense competition from Eli Lilly, Novo Nordisk (obesity), and Roche/AstraZeneca (oncology) and does not dominate any single therapeutic category. Product Pipeline (1/2): Multiple late-stage programs including obesity candidates, Seagen-derived ADCs with specific indications in development, and expanded oncology indications. Invested $5.3B in R&amp;D in H1 2026 [1]. However, specific next-gen product launches with named dates and revenue visibility beyond general pipeline descriptions are limited. R&amp;D Intensity (1/1): R&amp;D spending of ~$10.6B annually represents approximately 17% of revenue, well above the pharmaceutical industry average of 15% and reflecting heavy investment in the post-COVID pipeline rebuild.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Pfizer's purpose — 'Breakthroughs that change patients' lives' — is specific, thoughtful, and was powerfully validated by the COVID-19 vaccine development, where Pfizer invested billions at-risk before knowing the science would work, saving millions of lives in the process [1]. CEO Bourla's leadership through COVID demonstrated personal commitment to the mission, and the phrase 'breakthroughs' explicitly ties the company's identity to innovation rather than incremental drug reformulations. However, the mission has not yet been tested across multiple decades and leadership transitions — Bourla has led since 2019. Community Impact (1/2): Pfizer's Accord for a Healthier World provides medicines at not-for-profit prices to 45 lower-income countries, and the company ranks highly on the Access to Medicine Index. These are genuine and distinctive, though funded primarily from COVID windfall revenues [3]. Employee Retention (0/2): No specific retention or tenure data was found. Pfizer has undergone significant post-COVID restructuring and cost-cutting programs, which are negative signals for employee retention. Insider Buying (0/2): No evidence of meaningful net insider buying by CEO Bourla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Pfizer's strongest metrics are the low Forward P/E of 8.55x (well below 20x target), near-target D/E of 72%, strong current-year revenue growth of ~12% YoY, and an exceptional dividend payment history of 125+ consecutive years [1][4]. The primary drags are the 5-year revenue CAGR of approximately -5.6% (scoring 0 due to the COVID revenue cliff from $81B in FY2021 to ~$61B guided for FY2026), ROE of 8.31% (below the 15% target, depressed by Seagen acquisition goodwill and COVID writedowns), profit margin of 11.83% (below the 20% target), and slow 5-year dividend growth CAGR of ~2% reflecting Pfizer's conservative $0.04/year annual increases [4]. The payout ratio of ~59% on adjusted EPS is manageable but above the 40% target. Liquidity is ample at approximately $937M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Pfizer demonstrates mixed infinite-game characteristics. The 'Breakthroughs that change patients' lives' mission was powerfully validated during COVID when the company invested billions at-risk to develop a vaccine in record time, saving millions of lives — a genuine Just Cause moment. The $43B Seagen acquisition shows willingness to make bold long-term bets. However, the post-COVID era has been marked by significant cost-cutting, restructuring, and financial optimization that reflects finite-game pragmatism. The company's 125-year history demonstrates durability, but the current strategic posture prioritizes rebuilding earnings after the COVID revenue cliff over advancing a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'Breakthroughs that change patients' lives' was validated by the COVID vaccine — a genuine Just Cause moment where Pfizer invested billions before knowing the science would work, refused to take government R&amp;D funding (maintaining independence), and delivered a vaccine in under a year [1]. CEO Bourla's leadership during COVID demonstrated personal commitment to the mission over financial safety. The Accord for a Healthier World extends this cause to underserved populations [3]. However, the mission has not yet survived a leadership transition or multi-decade consistency test, and the post-COVID cost-cutting suggests financial priorities can override the cause when revenue declines.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Pfizer maintains a stable research-oriented workforce with deep scientific expertise, and the company's ability to mobilize thousands of employees for the COVID vaccine program suggests organizational trust and alignment during crisis [1]. However, post-COVID restructuring has included significant headcount reductions as Pfizer 'right-sized' from COVID-era staffing levels, which undermines trust. No specific employee satisfaction, turnover, or tenure data was found. The large-company culture (~83,000 employees) likely includes the bureaucratic dynamics typical of big pharma.</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that explicitly references learning from competitors like Eli Lilly, Novo Nordisk, or AstraZeneca, or frames competition as motivation for self-improvement. Pfizer's competitive language in earnings calls and presentations focuses on its own pipeline execution and market positioning rather than engaging with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Pfizer has evolved significantly over the past decade — spinning off Upjohn (generic drugs) into Viatris, divesting consumer health into the GSK Haleon JV, pivoting to mRNA technology during COVID, and transforming its oncology franchise through the $43B Seagen acquisition [1]. Each move reshaped the portfolio toward higher-value biopharma. However, these were incremental portfolio rotations common in big pharma, not the kind of transformative reinvention that Sinek describes — Pfizer remains fundamentally the same business (discovering, developing, and selling drugs) through each transition.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COVID vaccine investment was a courageous long-term bet — Pfizer invested billions in development before clinical results were known, refused U.S. government Operation Warp Speed R&amp;D funding to maintain independence, and committed to manufacturing at-risk before approval [1]. The $43B Seagen acquisition was a bold bet on oncology ADCs when Pfizer's balance sheet was stretched. However, the post-COVID period has been characterized by cost-cutting, restructuring, and financial optimization rather than courageous investment in new capabilities, suggesting the courage was situational rather than systematic.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Pfizer at 8.55x forward earnings with a 7.07% dividend yield offers deep value entry into a recovering pharma franchise — FY2026 guidance of $59.5B-$62.5B revenue (+12% YoY) with adjusted EPS of $2.80-$3.00 reflects the post-COVID revenue rebuild driven by 18% operational growth of launched and acquired products in Q2 [1]. The $43B Seagen acquisition positions Pfizer as an oncology ADC leader with a differentiated platform generating near-term revenue and a multi-year pipeline. AI-driven drug discovery (30-day molecular identification, 16,000 hours saved annually) is reducing R&amp;D costs and timelines, improving the probability-adjusted value of the pipeline [2]. The 125-year consecutive dividend payment history and conservative D/E of 72% provide balance sheet stability, while the forward PE of 8.55x prices in significant pessimism that creates asymmetric upside if oncology and obesity programs deliver.</w:t>
      </w:r>
    </w:p>
    <w:p>
      <w:pPr>
        <w:spacing w:after="120"/>
      </w:pPr>
      <w:r>
        <w:rPr>
          <w:rFonts w:ascii="Calibri" w:hAnsi="Calibri"/>
          <w:b w:val="0"/>
          <w:color w:val="3A4A28"/>
          <w:sz w:val="20"/>
        </w:rPr>
        <w:t>The bear case centers on the post-COVID revenue crater, pipeline execution risk, and structural growth challenges. The 5-year revenue CAGR of -5.6% (from $81B in FY2021 to ~$61B guided for FY2026) reflects a company still digging out from the COVID cliff, and the base business remains below pre-pandemic revenue levels when excluding acquisitions [1]. ROE of 8.31% and profit margin of 11.83% are below pharma peers, depressed by Seagen acquisition amortization, COVID inventory writedowns, and restructuring charges [4]. The dividend growth CAGR of only 2% ($0.04/year increases) signals management's lack of confidence in sustained earnings acceleration — at the current $1.72 annual dividend, real purchasing power is declining. Pfizer was late to the GLP-1 obesity opportunity (years behind Eli Lilly and Novo Nordisk), and pipeline catalysts in obesity must overcome significant first-mover disadvantage. The Inspire Impact Score of -93 (MISALIGNED) — the lowest possible range due to abortifacients, abortion activism, embryonic stem cells, and LGBT activism flags — severely limits allocation for faith-based investors despite strong healthcare access programs [3]. Patent expirations on legacy franchises create an ongoing revenue replacement challenge that requires consistent pipeline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Seagen-derived ADC oncology portfolio driving 18% operational growth of launched and acquired products in Q2 2026, with multiple additional indications advancing through late-stage clinical trials that could expand the addressable market significantly [1]</w:t>
      </w:r>
    </w:p>
    <w:p>
      <w:pPr>
        <w:spacing w:before="40" w:after="40"/>
        <w:ind w:left="283"/>
      </w:pPr>
      <w:r>
        <w:rPr>
          <w:rFonts w:ascii="Calibri" w:hAnsi="Calibri"/>
          <w:b/>
          <w:color w:val="4A6B25"/>
          <w:sz w:val="20"/>
        </w:rPr>
        <w:t xml:space="preserve">2. </w:t>
      </w:r>
      <w:r>
        <w:rPr>
          <w:rFonts w:ascii="Calibri" w:hAnsi="Calibri"/>
          <w:b w:val="0"/>
          <w:color w:val="3A4A28"/>
          <w:sz w:val="20"/>
        </w:rPr>
        <w:t>Obesity program advancing with 'meaningful momentum' per management — successful Phase 3 readouts could open access to the $100B+ GLP-1/obesity market and re-rate PFE from a value trap to a growth pharma name [1]</w:t>
      </w:r>
    </w:p>
    <w:p>
      <w:pPr>
        <w:spacing w:before="40" w:after="40"/>
        <w:ind w:left="283"/>
      </w:pPr>
      <w:r>
        <w:rPr>
          <w:rFonts w:ascii="Calibri" w:hAnsi="Calibri"/>
          <w:b/>
          <w:color w:val="4A6B25"/>
          <w:sz w:val="20"/>
        </w:rPr>
        <w:t xml:space="preserve">3. </w:t>
      </w:r>
      <w:r>
        <w:rPr>
          <w:rFonts w:ascii="Calibri" w:hAnsi="Calibri"/>
          <w:b w:val="0"/>
          <w:color w:val="3A4A28"/>
          <w:sz w:val="20"/>
        </w:rPr>
        <w:t>Forward PE of 8.55x represents extreme pessimism already priced in — any positive pipeline surprise (obesity data, ADC expansions, or new launches) could drive significant multiple expansion from deep value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Five-year revenue CAGR of -5.6% reflects a company still rebuilding from the COVID revenue cliff ($81B to $61B), and excluding Seagen acquisition revenue the organic growth trajectory remains uncertain — patent expirations on legacy drugs create an ongoing replacement burden [1]</w:t>
      </w:r>
    </w:p>
    <w:p>
      <w:pPr>
        <w:spacing w:before="40" w:after="40"/>
        <w:ind w:left="283"/>
      </w:pPr>
      <w:r>
        <w:rPr>
          <w:rFonts w:ascii="Calibri" w:hAnsi="Calibri"/>
          <w:b/>
          <w:color w:val="4A6B25"/>
          <w:sz w:val="20"/>
        </w:rPr>
        <w:t xml:space="preserve">2. </w:t>
      </w:r>
      <w:r>
        <w:rPr>
          <w:rFonts w:ascii="Calibri" w:hAnsi="Calibri"/>
          <w:b w:val="0"/>
          <w:color w:val="3A4A28"/>
          <w:sz w:val="20"/>
        </w:rPr>
        <w:t>Late entry to the GLP-1/obesity market years behind established leaders Eli Lilly (Mounjaro/Zepbound) and Novo Nordisk (Ozempic/Wegovy) means Pfizer must demonstrate differentiation in a crowded therapeutic area where brand loyalty and physician familiarity already favor incumbents [1]</w:t>
      </w:r>
    </w:p>
    <w:p>
      <w:pPr>
        <w:spacing w:before="40" w:after="40"/>
        <w:ind w:left="283"/>
      </w:pPr>
      <w:r>
        <w:rPr>
          <w:rFonts w:ascii="Calibri" w:hAnsi="Calibri"/>
          <w:b/>
          <w:color w:val="4A6B25"/>
          <w:sz w:val="20"/>
        </w:rPr>
        <w:t xml:space="preserve">3. </w:t>
      </w:r>
      <w:r>
        <w:rPr>
          <w:rFonts w:ascii="Calibri" w:hAnsi="Calibri"/>
          <w:b w:val="0"/>
          <w:color w:val="3A4A28"/>
          <w:sz w:val="20"/>
        </w:rPr>
        <w:t>Dividend growth CAGR of only 2% and GAAP profit margin of 11.83% suggest limited capacity for meaningful dividend growth — the 7.07% yield depends on earnings recovery from Seagen integration and new launches rather than current cash generation strength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development is structurally protected from AI disruption — the core business requires physical clinical trials (Phase I-III spanning years), FDA regulatory approval processes, large-scale GMP manufacturing of complex biological and chemical compounds, and global distribution infrastructure that AI cannot replace [2]. Pfizer's moat includes 125+ years of regulatory relationships, manufacturing expertise, and clinical trial capabilities. AI enhances drug discovery (Pfizer has demonstrated 30-day molecular identification) but does not eliminate the years-long development, testing, and approval process that follows discovery. The primary AI exposure is indirect: AI could empower smaller biotech competitors to identify drug targets faster, potentially increasing competitive pressure on Pfizer's pipeline investments. However, the capital requirements for late-stage clinical trials ($1B+ per drug) and global manufacturing create barriers that AI alone cannot overcome. AI Opportunity (0/1): Pfizer uses AI extensively for internal drug discovery and operational efficiency (16,000 hours saved annually) but does not sell AI products or services [2]. The AI deployment reduces R&amp;D costs and timelines but does not generate quantifiable AI revenue — the revenue comes from the drugs developed using AI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Pfizer Q2 2026 Earnings Release — Launched and Acquired Products +18% Operational Growth, FY2026 Revenue Guidance Raised to $59.5B-$62.5B, Adjusted EPS $2.80-$3.00, $5.3B R&amp;D Investment H1 2026, August 2026</w:t>
      </w:r>
    </w:p>
    <w:p>
      <w:pPr>
        <w:spacing w:before="20" w:after="20"/>
        <w:ind w:left="170"/>
      </w:pPr>
      <w:r>
        <w:rPr>
          <w:rFonts w:ascii="Calibri" w:hAnsi="Calibri"/>
          <w:b/>
          <w:color w:val="4A6B25"/>
          <w:sz w:val="15"/>
        </w:rPr>
        <w:t xml:space="preserve">2. </w:t>
      </w:r>
      <w:r>
        <w:rPr>
          <w:rFonts w:ascii="Calibri" w:hAnsi="Calibri"/>
          <w:b w:val="0"/>
          <w:color w:val="3A4A28"/>
          <w:sz w:val="17"/>
        </w:rPr>
        <w:t>Pfizer AI Strategy — Drug Discovery Cut to 30 Days, 16,000 Hours Saved, Chief AI Officer Berta Rodriguez-Hervas, CytoReason and CeMM Partnerships — Chief AI Officer, Technology Magazine, 2025-2026</w:t>
      </w:r>
    </w:p>
    <w:p>
      <w:pPr>
        <w:spacing w:before="20" w:after="20"/>
        <w:ind w:left="170"/>
      </w:pPr>
      <w:r>
        <w:rPr>
          <w:rFonts w:ascii="Calibri" w:hAnsi="Calibri"/>
          <w:b/>
          <w:color w:val="4A6B25"/>
          <w:sz w:val="15"/>
        </w:rPr>
        <w:t xml:space="preserve">3. </w:t>
      </w:r>
      <w:r>
        <w:rPr>
          <w:rFonts w:ascii="Calibri" w:hAnsi="Calibri"/>
          <w:b w:val="0"/>
          <w:color w:val="3A4A28"/>
          <w:sz w:val="17"/>
        </w:rPr>
        <w:t>Pfizer ESG and Social Impact — Accord for a Healthier World (45 Countries), SBTi Climate Targets, Access to Medicine Index — Sustainability Magazine, S&amp;P Global,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PFE Key Statistics: Forward P/E 8.55x, PE 18.56x, ROE 8.31%, Profit Margin 11.83%, D/E 72%, Dividend Yield 7.07%, Stock Price $26.76,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