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PLBY</w:t>
      </w:r>
      <w:r>
        <w:rPr>
          <w:rFonts w:ascii="Calibri" w:hAnsi="Calibri"/>
          <w:b/>
          <w:color w:val="1A2010"/>
          <w:sz w:val="40"/>
        </w:rPr>
        <w:t xml:space="preserve">  Playboy, Inc.</w:t>
      </w:r>
    </w:p>
    <w:p>
      <w:pPr>
        <w:spacing w:after="120"/>
      </w:pPr>
      <w:r>
        <w:rPr>
          <w:rFonts w:ascii="Calibri" w:hAnsi="Calibri"/>
          <w:b/>
          <w:color w:val="6E8450"/>
          <w:sz w:val="18"/>
        </w:rPr>
        <w:t>GROWTH SLEEVE · 2026-08-07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Leisure &amp; Apparel Licensing · NASDAQ · United States</w:t>
      </w:r>
    </w:p>
    <w:p>
      <w:pPr>
        <w:spacing w:after="80"/>
      </w:pPr>
      <w:r>
        <w:rPr>
          <w:rFonts w:ascii="Calibri" w:hAnsi="Calibri"/>
          <w:b w:val="0"/>
          <w:color w:val="3A4A28"/>
          <w:sz w:val="20"/>
        </w:rPr>
        <w:t>Playboy, Inc. (formerly PLBY Group) operates as a global pleasure and leisure lifestyle company across Direct-to-Consumer and Licensing segments, spanning sexual wellness, style and apparel (including the Honey Birdette lingerie brand), gaming and lifestyle, and beauty and grooming. The majority of revenue now comes from brand licensing of the Playboy trademark and Rabbit Head Design globally, following a strategic pivot to an asset-light model anchored by a 15-year licensing partnership with Byborg Enterprises. The company relocated its global headquarters from Los Angeles to Miami Beach in 2025.</w:t>
      </w:r>
    </w:p>
    <w:p>
      <w:r>
        <w:rPr>
          <w:rFonts w:ascii="Calibri" w:hAnsi="Calibri"/>
          <w:b/>
          <w:color w:val="6E8450"/>
          <w:sz w:val="18"/>
        </w:rPr>
        <w:t>250 Employees · https://playboy.com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Playboy's 15-year licensing deal with Byborg Enterprises (25% profit share, nine extension options) has generated over $300M in guaranteed royalties from AI-driven adult content platforms, a genuinely new and material revenue stream layered onto the legacy brand [1]. Q1 2026 consolidated revenue grew 5% YoY to $30.2M with net loss narrowing to $4.0M from $9.0M, and Adjusted EBITDA rose 111% YoY — the fifth consecutive quarter of positive Adjusted EBITDA [1]. AI Deployment (2/2): The Byborg partnership includes 'AI Girlfriends' marketing via jasmine.ai with specific quantified guaranteed royalty figures ($300M+), qualifying as shipped AI-monetized product with disclosed dollar terms [2]. Market Share (1/2): The Honey Birdette lingerie brand delivered six consecutive quarters of double-digit brick-and-mortar comparable store sales growth, a meaningful but single-brand data point rather than category leadership [2]. Pipeline (1/2): The completed UTG China transaction and $15M gross debt reduction show forward momentum, but specific next-generation product timelines beyond the existing licensing pipeline are vague. R&amp;D Intensity (0/1): As a brand licensor rather than a technology or product developer, no meaningful R&amp;D spend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Playboy's positioning as a 'global pleasure and leisure lifestyle company' is generic branding language interchangeable with other lifestyle/entertainment companies and does not articulate a purpose beyond commercial lifestyle branding [1]. Community Impact (0/2): No specific charitable programs, foundation activity, or community investment data was found. Employee Retention (0/2): Headcount has been repeatedly reduced through the asset-light transition (now roughly 250 employees), and no positive tenure or retention data was identified. Insider Buying (0/2): CEO Bernhard 'Ben' Kohn sold 324,453 shares in open-market transactions in July 2026 at $1.14-$1.19 per share (partly to cover RSU tax withholding, but still a net reduction in direct holdings), continuing a pattern of insider selling rather than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dollar volume is approximately $1.16 stock price x ~630K average daily shares = roughly $730K, below the $1,000,000 minimum liquidity threshold, so Infrastructure is scored 0 regardless of other metrics per the hard rule. On the underlying mechanics, the picture would have scored weak in any case: D/E of 532% is far above the 300% floor (cross-verified against a 5.32 debt-to-equity ratio reported by GuruFocus/YCharts on $170.7M+ long-term debt against just $33.5M stockholders' equity), ROE is negative, and profit margin of -10.5% remains below breakeven despite narrowing losses [4]. Revenue growth YoY of 4.8% and Forward P/E of 38.67 are the only metrics scoring above zero on the underlying mechanical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Playboy remains largely a finite-game operator — its business model has changed direction repeatedly under financial pressure rather than a consistent cause, and continued insider selling alongside a low-trust restructuring history limits the case for infinite thinking. The one genuine data point in its favor is a real pattern of transformative business-model reinvention across decades, most recently into AI-licensed content.</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Playboy's brand positioning around 'pleasure and leisure lifestyle' is commercial branding rather than a resilient, service-oriented cause, and the company's strategic direction has shifted opportunistically (media company to DTC operator to asset-light licensor) in response to financial distress rather than a stable articulated purpose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Repeated restructurings, headcount reductions through the asset-light pivot, and a pattern of CEO share sales (324,453 shares in July 2026) even as the company touts turnaround progress do not support a high-trust environment; no positive employee sentiment data was found to offset this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Playboy's competitive framing centers on defending market share against OnlyFans and digital subscription platforms rather than acknowledging their strengths as a source of self-improvement; no evidence of an infinite competitive mindset was found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Playboy has genuinely reinvented itself multiple times — ceasing print publication in 2020, acquiring the Honey Birdette lingerie brand, reversing a failed direct-operation strategy back to asset-light licensing, and now monetizing AI-generated content through the Byborg partnership — a real pattern of transformative pivots across the legacy brand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Management's admitted course-correction — reversing the costly decision to operate DTC brands directly and returning to an asset-light licensing model — represents a genuine, if reactive, acknowledgment of a strategic mistake and a costly restructuring to fix it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Playboy's turnaround narrative centers on the 15-year Byborg Enterprises licensing partnership, which has generated over $300M in guaranteed royalties with a 25% profit share from AI-driven adult content platforms, alongside Honey Birdette's six consecutive quarters of double-digit brick-and-mortar comp growth [1][2]. Q1 2026 revenue grew 5% YoY to $30.2M with net loss narrowing to $4.0M and Adjusted EBITDA up 111% — the fifth straight quarter of positive Adjusted EBITDA — while the completed UTG China transaction and $15M debt paydown show tangible deleveraging progress [1]. Forward P/E of 38.67 implies the market is pricing in a path back toward sustained profitability as the asset-light licensing model matures.</w:t>
      </w:r>
    </w:p>
    <w:p>
      <w:pPr>
        <w:spacing w:after="120"/>
      </w:pPr>
      <w:r>
        <w:rPr>
          <w:rFonts w:ascii="Calibri" w:hAnsi="Calibri"/>
          <w:b w:val="0"/>
          <w:color w:val="3A4A28"/>
          <w:sz w:val="20"/>
        </w:rPr>
        <w:t>The bear case dominates. Average daily dollar volume of roughly $730K falls below IOWN's $1M liquidity floor, triggering an automatic zero Infrastructure score regardless of the operating narrative — this stock is simply too illiquid for institutional-scale trading. Leverage remains severe: a cross-verified debt-to-equity ratio of roughly 532% (long-term debt of $170.7M+ against just $33.5M of stockholders' equity) leaves minimal cushion, and the business remains unprofitable on a trailing basis (profit margin -10.5%, negative ROE) despite narrowing losses [4]. CEO Ben Kohn's continued open-market share sales (324,453 shares in July 2026) do not signal strong insider conviction at current depressed prices, and the stock's fate is increasingly concentrated in a small number of licensees (Byborg, Honey Birdette, China licensing) — any disruption to those relationships would be a severe blow to the remaining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ramp of the Byborg licensing partnership toward its full $300M+ guaranteed royalty potential, with 25% profit-sharing upside as AI-driven adult content platforms scale</w:t>
      </w:r>
    </w:p>
    <w:p>
      <w:pPr>
        <w:spacing w:before="40" w:after="40"/>
        <w:ind w:left="283"/>
      </w:pPr>
      <w:r>
        <w:rPr>
          <w:rFonts w:ascii="Calibri" w:hAnsi="Calibri"/>
          <w:b/>
          <w:color w:val="4A6B25"/>
          <w:sz w:val="20"/>
        </w:rPr>
        <w:t xml:space="preserve">2. </w:t>
      </w:r>
      <w:r>
        <w:rPr>
          <w:rFonts w:ascii="Calibri" w:hAnsi="Calibri"/>
          <w:b w:val="0"/>
          <w:color w:val="3A4A28"/>
          <w:sz w:val="20"/>
        </w:rPr>
        <w:t>Honey Birdette's sustained double-digit comparable store sales growth (six consecutive quarters) providing a profitable, tangible retail anchor within the licensing-led model</w:t>
      </w:r>
    </w:p>
    <w:p>
      <w:pPr>
        <w:spacing w:before="40" w:after="40"/>
        <w:ind w:left="283"/>
      </w:pPr>
      <w:r>
        <w:rPr>
          <w:rFonts w:ascii="Calibri" w:hAnsi="Calibri"/>
          <w:b/>
          <w:color w:val="4A6B25"/>
          <w:sz w:val="20"/>
        </w:rPr>
        <w:t xml:space="preserve">3. </w:t>
      </w:r>
      <w:r>
        <w:rPr>
          <w:rFonts w:ascii="Calibri" w:hAnsi="Calibri"/>
          <w:b w:val="0"/>
          <w:color w:val="3A4A28"/>
          <w:sz w:val="20"/>
        </w:rPr>
        <w:t>Further debt reduction following the UTG China transaction's $15M paydown, which could de-risk the balance sheet ahead of upcoming debt maturities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 average daily dollar volume of roughly $730K falls below the $1M threshold, making PLBY structurally unsuitable for institutional-scale positions regardless of fundamentals</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 approximately 532%) against thin equity cushion ($33.5M) creates real refinancing and covenant risk if licensing revenue growth stalls</w:t>
      </w:r>
    </w:p>
    <w:p>
      <w:pPr>
        <w:spacing w:before="40" w:after="40"/>
        <w:ind w:left="283"/>
      </w:pPr>
      <w:r>
        <w:rPr>
          <w:rFonts w:ascii="Calibri" w:hAnsi="Calibri"/>
          <w:b/>
          <w:color w:val="4A6B25"/>
          <w:sz w:val="20"/>
        </w:rPr>
        <w:t xml:space="preserve">3. </w:t>
      </w:r>
      <w:r>
        <w:rPr>
          <w:rFonts w:ascii="Calibri" w:hAnsi="Calibri"/>
          <w:b w:val="0"/>
          <w:color w:val="3A4A28"/>
          <w:sz w:val="20"/>
        </w:rPr>
        <w:t>High concentration of licensing revenue among a small number of key licensees (Byborg, Honey Birdette, China partners) — the loss or renegotiation of any single relationship would materially impair the turnaround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Playboy's licensing model faces real substitution risk — digital subscription platforms like OnlyFans and AI-generated adult content have structurally disrupted the category Playboy's digital content business once occupied, and analysts flag high concentration of licensing revenue in a small number of licensees as a key risk factor [2]. The Playboy trademark and Rabbit Head Design provide some durable brand-licensing moat (apparel, gaming, location-based entertainment) that is less directly substitutable, but the core content business is meaningfully exposed. AI Opportunity (1/1): Rather than being purely disrupted, Playboy is actively monetizing the AI wave — the 15-year Byborg/jasmine.ai partnership has generated $300M+ in guaranteed royalties with a 25% profit share structure, a quantified and material AI-derived revenue stream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Alcohol </w:t>
      </w:r>
      <w:r>
        <w:rPr>
          <w:rFonts w:ascii="Calibri" w:hAnsi="Calibri"/>
          <w:b w:val="0"/>
          <w:color w:val="9DAF88"/>
          <w:sz w:val="17"/>
        </w:rPr>
        <w:t xml:space="preserve">  ·  </w:t>
      </w:r>
      <w:r>
        <w:rPr>
          <w:rFonts w:ascii="Calibri" w:hAnsi="Calibri"/>
          <w:b/>
          <w:color w:val="DC2626"/>
          <w:sz w:val="17"/>
        </w:rPr>
        <w:t xml:space="preserve"> Gambling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Playboy Inc Q1 2026 Financial Results — SEC 8-K/10-Q, PRNewswire, Fool, Yahoo Finance, May 2026</w:t>
      </w:r>
    </w:p>
    <w:p>
      <w:pPr>
        <w:spacing w:before="20" w:after="20"/>
        <w:ind w:left="170"/>
      </w:pPr>
      <w:r>
        <w:rPr>
          <w:rFonts w:ascii="Calibri" w:hAnsi="Calibri"/>
          <w:b/>
          <w:color w:val="4A6B25"/>
          <w:sz w:val="15"/>
        </w:rPr>
        <w:t xml:space="preserve">2. </w:t>
      </w:r>
      <w:r>
        <w:rPr>
          <w:rFonts w:ascii="Calibri" w:hAnsi="Calibri"/>
          <w:b w:val="0"/>
          <w:color w:val="3A4A28"/>
          <w:sz w:val="17"/>
        </w:rPr>
        <w:t>Playboy Strategic Reinvention: Byborg AI Licensing Deal and Asset-Light Model — ainvest.com, ts2.tech, Investing.com, 2026</w:t>
      </w:r>
    </w:p>
    <w:p>
      <w:pPr>
        <w:spacing w:before="20" w:after="20"/>
        <w:ind w:left="170"/>
      </w:pPr>
      <w:r>
        <w:rPr>
          <w:rFonts w:ascii="Calibri" w:hAnsi="Calibri"/>
          <w:b/>
          <w:color w:val="4A6B25"/>
          <w:sz w:val="15"/>
        </w:rPr>
        <w:t xml:space="preserve">3. </w:t>
      </w:r>
      <w:r>
        <w:rPr>
          <w:rFonts w:ascii="Calibri" w:hAnsi="Calibri"/>
          <w:b w:val="0"/>
          <w:color w:val="3A4A28"/>
          <w:sz w:val="17"/>
        </w:rPr>
        <w:t>Playboy Inc Insider Trading Activity (CEO Ben Kohn Share Sales) — StockTitan, July 2026</w:t>
      </w:r>
    </w:p>
    <w:p>
      <w:pPr>
        <w:spacing w:before="20" w:after="20"/>
        <w:ind w:left="170"/>
      </w:pPr>
      <w:r>
        <w:rPr>
          <w:rFonts w:ascii="Calibri" w:hAnsi="Calibri"/>
          <w:b/>
          <w:color w:val="4A6B25"/>
          <w:sz w:val="15"/>
        </w:rPr>
        <w:t xml:space="preserve">4. </w:t>
      </w:r>
      <w:r>
        <w:rPr>
          <w:rFonts w:ascii="Calibri" w:hAnsi="Calibri"/>
          <w:b w:val="0"/>
          <w:color w:val="3A4A28"/>
          <w:sz w:val="17"/>
        </w:rPr>
        <w:t>Playboy Debt-to-Equity Ratio Analysis — GuruFocus, YCharts,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PLBY Financials, Ratios, and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