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PTY</w:t>
      </w:r>
      <w:r>
        <w:rPr>
          <w:rFonts w:ascii="Calibri" w:hAnsi="Calibri"/>
          <w:b/>
          <w:color w:val="1A2010"/>
          <w:sz w:val="40"/>
        </w:rPr>
        <w:t xml:space="preserve">  PIMCO Corporate &amp; Income Opportunity Fund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2026-08-02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Asset Management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PIMCO Corporate &amp; Income Opportunity Fund is a closed-end fixed income mutual fund launched and managed by Allianz Global Investors Fund Management LLC and co-managed by Pacific Investment Management Company LLC. The fund invests in global fixed income markets, focusing on corporate debt obligations rated in the lowest investment grade category (Baa/BBB) and highest non-investment grade category (Ba/BB), targeting intermediate maturity bonds. Trading at a 4.6% premium to NAV as of June 2026, reflecting PIMCO's brand premium in fixed income.</w:t>
      </w:r>
    </w:p>
    <w:p>
      <w:r>
        <w:rPr>
          <w:rFonts w:ascii="Calibri" w:hAnsi="Calibri"/>
          <w:b/>
          <w:color w:val="6E8450"/>
          <w:sz w:val="18"/>
        </w:rPr>
        <w:t>https://www.pimco.com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PTY is a closed-end fixed income fund, not an operating company — it does not launch products, pivot business models, or transform industries. The fund's strategy of investing in investment-grade and high-yield corporate bonds has remained essentially unchanged since its 2002 inception [1]. AI Deployment (0/2): No evidence of AI-powered products or quantified AI-driven savings specific to PTY. While PIMCO as a firm likely uses quantitative models across its $1.9 trillion AUM platform, PTY itself does not ship AI products [2]. Market Share (1/2): PTY is one of PIMCO's most popular closed-end funds with approximately $2.6B in total assets, consistently trading at a 4.6% premium to NAV as of June 2026, reflecting strong investor demand and PIMCO's brand strength [1][3]. Product Pipeline (0/2): As a closed-end fund with a fixed mandate, there is no product pipeline. R&amp;D Intensity (1/1): PIMCO invests heavily in research, employing over 300 portfolio managers and analysts globally with deep macroeconomic and credit research capabilities that inform PTY's investment decisions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PIMCO's stated mission is to deliver superior investment returns, solutions, and service to clients — a generic asset management mission interchangeable with virtually any investment firm, articulating no deeper purpose beyond financial performance [2]. Community Impact (1/2): The PIMCO Foundation has donated over $100 million since its 2012 founding, supporting education, economic mobility, and environmental sustainability initiatives, with employee volunteer programs in communities where PIMCO operates [2]. Employee Retention (1/2): PIMCO has rebuilt organizational stability under CEO Emmanuel Roman since Bill Gross's departure in 2014, growing AUM from approximately $1.5T to $1.9T and maintaining a deep bench of portfolio managers and analysts, suggesting strong retention of investment talent, though specific turnover data is not publicly disclosed [2]. Insider Buying (0/2): As a closed-end fund, PTY does not have traditional insider buying dynamics — there are no CEO or executive purchases of fund shares to evaluate as a conviction signal.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adapted for the CEF structure. D/E of 21.3% is well below the 70% target, reflecting moderate and disciplined leverage that enhances yield without excessive balance sheet risk [4]. ROE of 11.3% falls below the 15% target, typical for a fixed income vehicle distributing most income to shareholders; 1-year NAV total return of 12.33% and 5-year annualized return of 7.92% demonstrate solid risk-adjusted performance [3]. Revenue (net investment income plus gains) grew 7.2% YoY as the fund benefited from elevated corporate bond yields. Profit margin of 100.4% reflects the CEF pass-through structure. However, payout ratio of 121.4% exceeds the 100% floor, indicating partial return of capital — common for CEFs but a structural concern for distribution sustainability [4]. The fund has paid distributions continuously for 24 years since 2002 inception (scoring 1.0 at 2x weight), but distribution rates have been flat to declining since 2013 with 5-year CAGR of -1.5% (scoring 0.0 at 2x weight). Liquidity floor cleared: 689K avg volume x $12.00 = $8.3M daily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PTY benefits from PIMCO's institutional durability and 50+ year heritage in fixed income investing, lending some infinite-game credibility through organizational longevity. However, as a closed-end fund with a fixed mandate, PTY lacks the agency to make bold strategic pivots, demonstrate existential flexibility, or articulate a Just Cause beyond generating income. The fund is designed to endure and distribute income, which mechanically resembles infinite thinking but is structurally constrained rather than cause-driven.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PIMCO's founding purpose was to democratize access to institutional-grade fixed income investing, and PTY serves this purpose by providing retail investors access to a diversified, professionally managed corporate bond portfolio with institutional leverage [2]. However, the cause is generic to asset management and has not been distinctively validated through transformative strategic decisions. The fund exists to generate income, not to advance a vision of a better future.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PIMCO rebuilt a collaborative investment culture under Emmanuel Roman and CIO Dan Ivascyn after the tumultuous Gross era, which was characterized by dominant single-manager culture [2]. The firm now operates with multiple portfolio management teams and committee-driven processes reflecting greater organizational trust. PTY benefits from this institutional stability, though specific retention data for the fund management team is not publicly available.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PIMCO consistently benchmarks performance against peer closed-end funds from BlackRock, Nuveen, and other managers, and PTY's persistent premium to NAV reflects investor confidence in PIMCO's active management versus alternatives [1]. The firm's competitive posture focuses on delivering superior risk-adjusted returns rather than dominating competitors, framing the market as motivation to improve investment processes.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PTY has a fixed investment mandate established at inception — it invests in corporate bonds rated Baa/BBB and Ba/BB. The fund cannot fundamentally reinvent itself, pivot to a new asset class, or abandon its core strategy without shareholder approval and regulatory filings [1]. This structural rigidity is inherent to the closed-end fund format. PIMCO as a firm has shown flexibility (expanding into alternatives, equities), but PTY has no mechanism for existential flexibility.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PIMCO demonstrated courage through the Bill Gross departure in 2014, successfully navigating the exit of its founder without catastrophic AUM losses — the firm has since grown to approximately $1.9 trillion [2]. The decision to maintain PTY's distribution rate through multiple credit cycles, including the 2020 COVID dislocation when NAV dropped to the $7-8 range, showed commitment to long-term income investors over short-term price performance. However, these decisions were made at the PIMCO firm level, not specific to PTY's fund structure.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PTY offers an attractive 10.3% distribution yield backed by PIMCO's institutional-grade credit research, a 24-year track record of continuous monthly distributions since 2002 inception, and a 1-year NAV total return of 12.33% and 5-year annualized return of 7.92% [1][3]. The fund trades at a 4.6% premium to NAV as of June 2026, reflecting strong investor confidence in PIMCO's active management capabilities. D/E of 21.3% represents disciplined leverage that enhances yield without excessive risk, and PIMCO's $1.9T AUM platform provides deep credit research resources individual investors cannot replicate. Net investment income grew 7.2% YoY as the fund benefited from the elevated corporate bond yield environment 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distribution sustainability and structural CEF limitations. The 121.4% payout ratio means PTY distributes more than it earns in net investment income, relying on return of capital and capital gains to maintain the monthly distribution — a structurally unsustainable dynamic [4]. Annual distributions have been flat since 2023 and declined from $3.40 in 2013 to $1.43, reflecting long-term erosion in distribution capacity with a -1.5% 5-year CAGR. If interest rates decline meaningfully, net investment income compression could force a distribution cut that would trigger a sell-off, particularly given the 4.6% premium to NAV that provides no margin of safety. The fund's BBB/BB corporate bond concentration creates credit cycle risk — the FY2022 net loss of -$246M demonstrates how quickly credit losses can wipe out multiple years of income. As a CEF, PTY cannot innovate, pivot strategically, or grow earnings in ways that operating companies can, fundamentally limiting its IOWN Return on Intention score.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Sustained elevated interest rate environment supporting net investment income growth and maintaining the $0.119/month distribution through 2026-2027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PIMCO's active management capturing spread compression opportunities as high-yield default rates normalize, potentially improving NAV total returns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distribution increase if net investment income growth outpaces current payout levels, which would likely expand the fund's premium to NAV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Distribution sustainability concern with 121.4% payout ratio — the fund pays out more than net investment income, which is unsustainable without capital gains or return of capital that erodes NAV over time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Credit cycle risk from BBB/BB corporate bond concentration — a recession or credit market stress could trigger downgrades, defaults, and forced selling that compress NAV, as demonstrated by the -$246M FY2022 loss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Interest rate decline risk would compress net investment income and the fund's ability to maintain its distribution rate, potentially triggering both a distribution cut and premium-to-NAV collapse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PTY owns physical fixed income securities — corporate bonds, high-yield debt, and structured credit instruments with contractual coupon payments and principal repayment obligations that AI cannot substitute or replicate [1]. The underlying assets are structurally immune to AI disruption. The fund's value proposition is access to PIMCO's institutional-grade credit research and active management, and while AI may improve bond selection and credit analysis, the fixed income market's complexity, relationship-driven nature (particularly in illiquid credits), and regulatory requirements provide meaningful insulation [2]. The primary AI risk is that AI-powered robo-advisors and passive bond ETFs could gradually compress the premium investors pay for active CEF management, but this is competitive pressure rather than existential threat. AI Opportunity (0/1): PTY does not generate AI-related revenue. PIMCO may use quantitative analytics internally, but no quantifiable AI revenue contribution exists for this fund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PIMCO Corporate &amp; Income Opportunity Fund — fund profile, 4.6% premium to NAV, distribution history, 24-year track record; PIMCO official website, CEF Connect,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PIMCO Firm Overview — $1.9T AUM, CEO Emmanuel Roman, CIO Dan Ivascyn, PIMCO Foundation $100M+ donations, 300+ portfolio managers/analysts; pimco.com,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PTY Performance Data — 1-year NAV total return 12.33%, 5-year annualized 7.92%, 10.3% yield; ycharts.com, Morningstar,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PTY Key Statistics, D/E 21.3%, ROE 11.3%, payout ratio 121.4%, avg volume 689K;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