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RCI</w:t>
      </w:r>
      <w:r>
        <w:rPr>
          <w:rFonts w:ascii="Calibri" w:hAnsi="Calibri"/>
          <w:b/>
          <w:color w:val="1A2010"/>
          <w:sz w:val="40"/>
        </w:rPr>
        <w:t xml:space="preserve">  Rogers Communications Inc.</w:t>
      </w:r>
    </w:p>
    <w:p>
      <w:pPr>
        <w:spacing w:after="120"/>
      </w:pPr>
      <w:r>
        <w:rPr>
          <w:rFonts w:ascii="Calibri" w:hAnsi="Calibri"/>
          <w:b/>
          <w:color w:val="6E8450"/>
          <w:sz w:val="18"/>
        </w:rPr>
        <w:t>DIVIDEND SLEEVE · 2026-08-08 · Inspire: -62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Communication Services · Telecom Services · NYSE · Canada</w:t>
      </w:r>
    </w:p>
    <w:p>
      <w:pPr>
        <w:spacing w:after="80"/>
      </w:pPr>
      <w:r>
        <w:rPr>
          <w:rFonts w:ascii="Calibri" w:hAnsi="Calibri"/>
          <w:b w:val="0"/>
          <w:color w:val="3A4A28"/>
          <w:sz w:val="20"/>
        </w:rPr>
        <w:t>Rogers Communications Inc. is one of Canada's Big Three telecommunications companies, providing wireless, cable internet, television, and media services. The company operates Canada's largest cable network and a leading wireless network, along with a Sports and Media segment that includes the Toronto Blue Jays (MLB), Sportsnet, and other media properties. Rogers acquired Shaw Communications for C$26B in 2023, transforming it into Canada's largest cable provider. Founded in 1960 by Ted Rogers, headquartered in Toronto, Ontario.</w:t>
      </w:r>
    </w:p>
    <w:p>
      <w:r>
        <w:rPr>
          <w:rFonts w:ascii="Calibri" w:hAnsi="Calibri"/>
          <w:b/>
          <w:color w:val="6E8450"/>
          <w:sz w:val="18"/>
        </w:rPr>
        <w:t>25,000 Employees · https://www.rogers.com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The C$26B acquisition of Shaw Communications in 2023 was the largest telecom deal in Canadian history, transforming Rogers from a primarily Ontario/Atlantic-focused operator into a national cable and wireless powerhouse [1][4]. The integration has been completed with service revenue growing 8% YoY in Q2 2026, validating the strategic thesis. However, the deal was financed with massive debt ($25B+ CAD in long-term debt) creating ongoing financial constraints [1]. AI Deployment (0/2): No evidence of AI-powered products shipping to customers or specific quantified AI-driven operational savings. Standard telecom AI applications (network optimization, chatbots) may be deployed internally but are not differentiated [2]. Market Share (2/2): Rogers is one of Canada's Big Three telecoms and the largest cable provider following the Shaw acquisition, with dominant market positions in wireless, cable internet, and media across major Canadian markets [1]. Product Pipeline (1/2): 5G network buildout continues, Sports and Media segment grew 53% in Q2 2026 driven by Blue Jays revenue and new channel launches, but no specific next-generation products with revolutionary timelines have been announced [1]. R&amp;D Intensity (0/1): Capital expenditure fell 16% YoY in Q2 2026, focused on network infrastructure rather than R&amp;D. Below top quartile for the sector.</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Rogers' purpose centers on connecting Canadians to digital possibilities — generic telecom language interchangeable with any connectivity provider globally. The mission does not articulate a distinctive vision of a better future or inspire beyond the obvious commercial function [3]. Community &amp; Charitable Impact (1/2): Rogers provides community engagement through the Toronto Blue Jays, Sportsnet media properties, and general corporate programs including support for Canadian sports and digital connectivity. Member of the United Nations Global Compact since 2010 [3]. However, no distinctive large-scale charitable programs or specific dollar commitments were identified. Employee Retention (0/2): Glassdoor reviews describe concerning cultural dynamics: 'culture deteriorating and the executive leadership team is out of touch with reality,' 'dysfunctional and poor leadership,' and 'selfish and small mid-management killed the innovation' [2]. Reviews indicate Rogers does not retain talent or promote from within. Insider Buying (0/2): No meaningful net insider buying was identified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Q2 2026 delivered C$5.62B total revenue (up 7.7% YoY) with service revenue of C$5.06B (up 8%), while free cash flow grew 6% to C$1B and capex fell 16% — evidence of improving capital discipline post-Shaw integration [1]. Forward P/E of 11.22 is well below the 20 target, reflecting attractive valuation. ROE of 39.82% substantially exceeds the 15% target, though this is partially inflated by high leverage. The trailing PE of 4.3x and net margin of 31.75% reflect one-time gains distorting TTM earnings — normalized net margin based on forward PE is approximately 10%, more typical for telecoms [3]. Debt-to-equity of 182% is elevated well above the 70% target, reflecting the C$26B Shaw acquisition debt that exceeds $25B CAD in long-term obligations [4]. Dividend yield of 3.59% with estimated 20+ consecutive years of payments provides solid income characteristics.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Rogers exhibits predominantly finite game characteristics. The company is run as a family-controlled Canadian telecom focused on market share, revenue growth, and shareholder returns rather than an enduring cause. The 2021 boardroom battle — where Edward Rogers engineered a hostile board coup to install his preferred CEO — was a textbook example of finite game politics prioritizing control over institutional trust. The C$26B Shaw acquisition was bold but driven by competitive market positioning rather than a just cause. Employee reviews consistently describe deteriorating culture and disconnected leadership.</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Rogers' purpose is functional — connecting Canadians to digital services — rather than aspirational. The company exists to operate telecommunications infrastructure and generate returns for the Rogers family and shareholders [3]. No distinctive vision of a better future differentiates Rogers from BCE or Telus. The 2021 boardroom battle between Edward Rogers and the board over CEO selection demonstrated that power dynamics, not purpose, drive strategic decisions at the company's highest levels.</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The 2021 public boardroom battle — Edward Rogers firing the CEO, board members resigning, and a hostile chair election — was a catastrophic trust breakdown at the highest organizational level, broadcast nationally [2]. At the employee level, Glassdoor reviews describe 'culture deteriorating,' 'executive leadership out of touch with reality,' 'dysfunctional and poor leadership that results in wasted time,' and management that 'killed innovation' [2]. Multiple reviews indicate Rogers does not retain talent or promote from within, suggesting low psychological safety.</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Rogers operates in a mature Canadian telecom oligopoly alongside BCE and Telus, where competitive dynamics center on network quality, coverage, and customer service rather than destructive warfare. The three carriers compete for customers while collectively investing in 5G infrastructure that benefits the broader industry [1]. Management commentary focuses on Rogers' own execution improvements rather than 'beating' competitors.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C$26B Shaw acquisition fundamentally transformed Rogers' business scope, expanding from an Ontario/Atlantic-focused wireless/cable operator to a truly national platform with western Canada cable/internet coverage and a significantly expanded media portfolio [4]. This represents meaningful strategic evolution, though the core business model (telecommunications infrastructure and media) remained constant. The decision was driven by competitive positioning rather than a higher purpose.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C$26B Shaw acquisition was one of the boldest corporate bets in Canadian telecom history, requiring Rogers to take on massive debt ($25B+ CAD) and navigate complex regulatory review including the mandated divestiture of Freedom Mobile to Quebecor [4]. Capital expenditure reductions of 16% YoY in Q2 2026 while growing free cash flow 6% demonstrates disciplined capital allocation during the integration period [1]. However, the acquisition's leverage leaves limited flexibility for future courageous bets.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Rogers Communications delivered solid Q2 2026 results with total revenue of C$5.62B (up 7.7% YoY), service revenue growth of 8% to C$5.06B, and free cash flow up 6% to C$1B while reducing capex 16% — evidence that the post-Shaw integration is yielding operational leverage [1]. The Sports and Media segment surged 53% driven by Blue Jays revenue and new channel launches. At a forward P/E of just 11.22x with 3.59% dividend yield, Rogers offers compelling value relative to telecom peers. The company's position as one of Canada's Big Three telecoms with dominant wireless and cable positions, government-protected spectrum licenses, and essential infrastructure provides a durable competitive moat. Revenue synergies from the Shaw integration continue to accrue, and debt reduction from improving free cash flow generation should gradually de-leverage the balance sheet.</w:t>
      </w:r>
    </w:p>
    <w:p>
      <w:pPr>
        <w:spacing w:after="120"/>
      </w:pPr>
      <w:r>
        <w:rPr>
          <w:rFonts w:ascii="Calibri" w:hAnsi="Calibri"/>
          <w:b w:val="0"/>
          <w:color w:val="3A4A28"/>
          <w:sz w:val="20"/>
        </w:rPr>
        <w:t>The bear case centers on governance risk and financial leverage. Rogers carries $25B+ CAD in long-term debt from the Shaw acquisition, resulting in a 182% debt-to-equity ratio that limits financial flexibility and creates meaningful interest expense headwinds in an elevated rate environment [4]. The 2021 boardroom battle — a hostile takeover of the board by Edward Rogers to install his preferred CEO — demonstrated that family-controlled governance can override institutional decision-making, creating ongoing governance risk that is difficult to price [2]. Glassdoor reviews consistently describe deteriorating culture and disconnected leadership, suggesting the organizational foundation may be eroding beneath strong financial results. The trailing PE of 4.3x reflects one-time gains that inflate TTM earnings; normalized earnings power (implied by the 11.22x forward PE) are more modest. Organic revenue growth of 5-6% excluding Shaw is below the innovation leaders in the IOWN universe, and Canadian telecom regulatory risk remains a persistent overhang.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Shaw integration synergies driving service revenue growth above 8% with declining capex, expanding free cash flow generation for accelerated debt reduction below 4x net debt/EBITDA</w:t>
      </w:r>
    </w:p>
    <w:p>
      <w:pPr>
        <w:spacing w:before="40" w:after="40"/>
        <w:ind w:left="283"/>
      </w:pPr>
      <w:r>
        <w:rPr>
          <w:rFonts w:ascii="Calibri" w:hAnsi="Calibri"/>
          <w:b/>
          <w:color w:val="4A6B25"/>
          <w:sz w:val="20"/>
        </w:rPr>
        <w:t xml:space="preserve">2. </w:t>
      </w:r>
      <w:r>
        <w:rPr>
          <w:rFonts w:ascii="Calibri" w:hAnsi="Calibri"/>
          <w:b w:val="0"/>
          <w:color w:val="3A4A28"/>
          <w:sz w:val="20"/>
        </w:rPr>
        <w:t>Sports and Media segment momentum with 53% Q2 revenue growth from Blue Jays, Sportsnet expansion, and new channel launches creating a differentiated media asset within the telecom portfolio</w:t>
      </w:r>
    </w:p>
    <w:p>
      <w:pPr>
        <w:spacing w:before="40" w:after="40"/>
        <w:ind w:left="283"/>
      </w:pPr>
      <w:r>
        <w:rPr>
          <w:rFonts w:ascii="Calibri" w:hAnsi="Calibri"/>
          <w:b/>
          <w:color w:val="4A6B25"/>
          <w:sz w:val="20"/>
        </w:rPr>
        <w:t xml:space="preserve">3. </w:t>
      </w:r>
      <w:r>
        <w:rPr>
          <w:rFonts w:ascii="Calibri" w:hAnsi="Calibri"/>
          <w:b w:val="0"/>
          <w:color w:val="3A4A28"/>
          <w:sz w:val="20"/>
        </w:rPr>
        <w:t>5G network buildout completion enabling premium wireless pricing and enterprise connectivity services as AI-driven data demand accelerates across Canadian businesses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Debt-to-equity of 182% with $25B+ CAD in long-term obligations creates severe interest expense headwinds and limits strategic flexibility — any deterioration in free cash flow could force dividend cuts or asset sales</w:t>
      </w:r>
    </w:p>
    <w:p>
      <w:pPr>
        <w:spacing w:before="40" w:after="40"/>
        <w:ind w:left="283"/>
      </w:pPr>
      <w:r>
        <w:rPr>
          <w:rFonts w:ascii="Calibri" w:hAnsi="Calibri"/>
          <w:b/>
          <w:color w:val="4A6B25"/>
          <w:sz w:val="20"/>
        </w:rPr>
        <w:t xml:space="preserve">2. </w:t>
      </w:r>
      <w:r>
        <w:rPr>
          <w:rFonts w:ascii="Calibri" w:hAnsi="Calibri"/>
          <w:b w:val="0"/>
          <w:color w:val="3A4A28"/>
          <w:sz w:val="20"/>
        </w:rPr>
        <w:t>Family-controlled governance under Edward Rogers creates ongoing risk of boardroom disruption — the 2021 board coup demonstrated that personal power dynamics can override institutional governance at any time</w:t>
      </w:r>
    </w:p>
    <w:p>
      <w:pPr>
        <w:spacing w:before="40" w:after="40"/>
        <w:ind w:left="283"/>
      </w:pPr>
      <w:r>
        <w:rPr>
          <w:rFonts w:ascii="Calibri" w:hAnsi="Calibri"/>
          <w:b/>
          <w:color w:val="4A6B25"/>
          <w:sz w:val="20"/>
        </w:rPr>
        <w:t xml:space="preserve">3. </w:t>
      </w:r>
      <w:r>
        <w:rPr>
          <w:rFonts w:ascii="Calibri" w:hAnsi="Calibri"/>
          <w:b w:val="0"/>
          <w:color w:val="3A4A28"/>
          <w:sz w:val="20"/>
        </w:rPr>
        <w:t>Canadian telecom regulatory risk including potential government mandates on wireless pricing, MVNO access requirements, or spectrum policy changes that could compress margins across the Big Three oligopoly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Rogers' core wireless and cable infrastructure business is protected from AI disruption by physical network assets (cell towers, fiber optics, cable plant), government-issued spectrum licenses, and regulatory barriers to entry that AI cannot replicate [1]. Connectivity demand is increasing as AI adoption drives more data consumption, cloud computing, and smart device proliferation — AI structurally increases demand for the pipes Rogers provides. However, the Sports and Media segment (53% Q2 revenue growth) faces moderate AI exposure through AI-generated content, AI-driven advertising optimization, and potential disruption to traditional sports broadcasting models. AI Opportunity (0/1): No AI-related revenue products or services have been reported. Rogers may deploy AI internally for network management and customer service optimization, but no quantified AI-driven revenue or specific AI products are being offered to customers.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-62</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Sexually Explicit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Rogers Communications Q2 2026 Earnings Release — StockTitan, Yahoo Finance, FMP, July 2026</w:t>
      </w:r>
    </w:p>
    <w:p>
      <w:pPr>
        <w:spacing w:before="20" w:after="20"/>
        <w:ind w:left="170"/>
      </w:pPr>
      <w:r>
        <w:rPr>
          <w:rFonts w:ascii="Calibri" w:hAnsi="Calibri"/>
          <w:b/>
          <w:color w:val="4A6B25"/>
          <w:sz w:val="15"/>
        </w:rPr>
        <w:t xml:space="preserve">2. </w:t>
      </w:r>
      <w:r>
        <w:rPr>
          <w:rFonts w:ascii="Calibri" w:hAnsi="Calibri"/>
          <w:b w:val="0"/>
          <w:color w:val="3A4A28"/>
          <w:sz w:val="17"/>
        </w:rPr>
        <w:t>Glassdoor Employee Reviews and Leadership Analysis — Glassdoor, MitchelLake Intelligence, accessed August 2026</w:t>
      </w:r>
    </w:p>
    <w:p>
      <w:pPr>
        <w:spacing w:before="20" w:after="20"/>
        <w:ind w:left="170"/>
      </w:pPr>
      <w:r>
        <w:rPr>
          <w:rFonts w:ascii="Calibri" w:hAnsi="Calibri"/>
          <w:b/>
          <w:color w:val="4A6B25"/>
          <w:sz w:val="15"/>
        </w:rPr>
        <w:t xml:space="preserve">3. </w:t>
      </w:r>
      <w:r>
        <w:rPr>
          <w:rFonts w:ascii="Calibri" w:hAnsi="Calibri"/>
          <w:b w:val="0"/>
          <w:color w:val="3A4A28"/>
          <w:sz w:val="17"/>
        </w:rPr>
        <w:t>Rogers ESG and Corporate Responsibility — CSRHub, Sustainalytics, Rogers Investor Relations, accessed August 2026</w:t>
      </w:r>
    </w:p>
    <w:p>
      <w:pPr>
        <w:spacing w:before="20" w:after="20"/>
        <w:ind w:left="170"/>
      </w:pPr>
      <w:r>
        <w:rPr>
          <w:rFonts w:ascii="Calibri" w:hAnsi="Calibri"/>
          <w:b/>
          <w:color w:val="4A6B25"/>
          <w:sz w:val="15"/>
        </w:rPr>
        <w:t xml:space="preserve">4. </w:t>
      </w:r>
      <w:r>
        <w:rPr>
          <w:rFonts w:ascii="Calibri" w:hAnsi="Calibri"/>
          <w:b w:val="0"/>
          <w:color w:val="3A4A28"/>
          <w:sz w:val="17"/>
        </w:rPr>
        <w:t>Rogers-Shaw Acquisition Financial Impact — StockAnalysis, GuruFocus, MacroTrends,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