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RCUS</w:t>
      </w:r>
      <w:r>
        <w:rPr>
          <w:rFonts w:ascii="Calibri" w:hAnsi="Calibri"/>
          <w:b/>
          <w:color w:val="1A2010"/>
          <w:sz w:val="40"/>
        </w:rPr>
        <w:t xml:space="preserve">  Arcus Biosciences, Inc.</w:t>
      </w:r>
    </w:p>
    <w:p>
      <w:pPr>
        <w:spacing w:after="120"/>
      </w:pPr>
      <w:r>
        <w:rPr>
          <w:rFonts w:ascii="Calibri" w:hAnsi="Calibri"/>
          <w:b/>
          <w:color w:val="6E8450"/>
          <w:sz w:val="18"/>
        </w:rPr>
        <w:t>GROWTH SLEEVE · 2026-08-04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Arcus Biosciences is a clinical-stage biopharmaceutical company focused on developing differentiated therapies for cancer and inflammation/immunology. Key programs include casdatifan (HIF-2a inhibitor for renal cell carcinoma), quemliclustat (CD73 inhibitor for pancreatic cancer), and domvanalimab (anti-TIGIT antibody). Has a major collaboration with Gilead Sciences. Co-founded in 2015 by Terry Rosen, PhD and Juan Jaen, PhD. Market cap approximately $3.6B.</w:t>
      </w:r>
    </w:p>
    <w:p>
      <w:r>
        <w:rPr>
          <w:rFonts w:ascii="Calibri" w:hAnsi="Calibri"/>
          <w:b/>
          <w:color w:val="6E8450"/>
          <w:sz w:val="18"/>
        </w:rPr>
        <w:t>500 Employees · https://www.arcusbio.com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Arcus' Phase 3 STAR-221 study of domvanalimab was discontinued for futility, a significant clinical setback that forced a strategic pivot toward casdatifan and the emerging inflammation/immunology portfolio [3]. The company has successfully maintained a diversified pipeline but has not yet delivered a marketed product or transformative business outcome. AI Deployment (0/2): No evidence of AI-powered products or quantified AI-driven R&amp;D efficiencies at Arcus. The company's focus is on traditional small molecule and antibody drug discovery [2]. Market Share (0/2): As a pre-commercial clinical-stage biotech, Arcus has no marketed products and holds no market share in any therapeutic category [3]. Product Pipeline (2/2): Strong pipeline with specific registrational timelines — casdatifan in Phase 3 for clear cell renal cell carcinoma, quemliclustat for pancreatic cancer with Exelixis collaboration, and PACIFIC-8 trial evaluating domvanalimab plus durvalumab in Stage 3 NSCLC [3]. Multiple data readouts expected within 12-18 months. R&amp;D Intensity (1/1): Virtually all spending is R&amp;D — Arcus operates as a pure-play drug development company with R&amp;D intensity well above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Arcus' purpose — developing immuno-oncology therapies to treat cancer by blocking tumor-induced immunosuppression — clearly identifies the company's work and connects it to the larger goal of fighting cancer [2]. The focus on novel immunosuppression mechanisms is more specific than generic oncology missions, but the company is too young (founded 2015) to have validated this purpose through decades of execution. Community Impact (0/2): No evidence of distinctive charitable giving, community programs, or social investment initiatives beyond standard biotech corporate responsibility. Employee Retention (0/2): Glassdoor rating of 3.5/5 with mixed reviews — some praise transparent leadership and scientific culture, while others criticize co-founders as 'railroading and disempowering the brilliance underneath them' [2]. No specific retention or turnover data available. Insider Buying (0/2): Recent insider activity shows net selling — insider share sales reported in July 2026, with no evidence of meaningful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typical of a pre-commercial biotech. D/E of 19% reflects a conservatively capitalized balance sheet with minimal debt and $876M in cash and marketable securities, providing runway through at least H2 2028 [1]. TTM revenue of $236M (primarily Gilead collaboration revenue) grew 67.4% YoY, though this reflects lumpy collaboration milestone timing rather than sustainable product revenue growth [1][5]. TTM net loss of $369M produces a -156% profit margin, characteristic of a clinical-stage company spending heavily on multiple registrational trials [1]. ROE is deeply negative given the cumulative net losses. Forward P/E is not applicable as the company is expected to remain unprofitable through 2028+. Cash burn of approximately $128M per quarter at current run rates suggests approximately 7 quarters of cash remaining before additional capital raises [1]. Liquidity floor cleared: ~58K avg volume x $28.38 = $1.6M.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Arcus is a young company (founded 2015) that has not yet faced the tests Sinek requires to assess infinite game thinking — leadership transitions, market crises, or existential strategic pivots driven by purpose rather than desperation. The co-founders' vision for cancer immunotherapy is genuine but untested by time. The STAR-221 discontinuation and subsequent pivot, while strategically rational, was forced by clinical failure rather than purpose-driven choice.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Arcus' focus on developing novel immunotherapy approaches to 'block tumor-induced immunosuppression' is a genuine purpose that connects the company's work to fighting cancer [2]. However, this cause is shared by dozens of immuno-oncology companies and does not articulate a distinctive vision that sets Arcus apart. The company is too young (11 years old, pre-commercial) to have validated this cause through sustained execution, leadership transitions, or strategic sacrifices.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(3.5/5) reveal concerning leadership dynamics — one review describes co-founders as 'railroading and disempowering the brilliance underneath them with every action and communication' with 'huge misalignment in their actions compared to their communications' [2]. While some reviews praise scientific culture and transparency, the leadership criticism suggests gaps in psychological safety. With approximately 500 employees, the company is small enough that founder leadership style directly impacts the entire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Arcus leadership acknowledging competitors' strengths or using competitive dynamics as motivation for self-improvement. In the immuno-oncology space, competitors include Bristol-Myers Squibb, Merck, and Roche with marketed PD-1/PD-L1 therapies, but Arcus' public communications emphasize its differentiated scientific approach rather than learning from these larger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Arcus is too young to have faced a true existential pivot. The discontinuation of STAR-221 and pivot toward casdatifan was a clinical program adjustment within oncology drug development — not a fundamental business model transformation [3]. The company has operated in the same therapeutic space (immuno-oncology) since founding. Sinek would not score existential flexibility for a company that has not yet proven its business model, let alone pivoted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Co-founders Rosen and Jaen invested a decade building a pipeline from scratch, sustaining cumulative losses exceeding $1B before achieving meaningful clinical milestones [1]. The decision to discontinue the Phase 3 STAR-221 trial and concentrate R&amp;D investment on casdatifan demonstrated willingness to abandon a significant program when data didn't support continuing, which required acknowledging failure and reallocating resources [3]. However, this decision was forced by futility data rather than a proactive, purpose-driven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Arcus Biosciences offers high-risk, high-reward exposure to a differentiated immuno-oncology pipeline with multiple registrational catalysts. The lead program casdatifan (HIF-2a inhibitor) is in Phase 3 for clear cell renal cell carcinoma — a large and growing market where the mechanism of action is validated by competitors' data [3]. The Gilead Sciences partnership provides financial backing, commercial infrastructure, and validation of the pipeline's scientific merit. With $876M in cash and marketable securities providing runway through at least H2 2028, Arcus can fund its clinical programs without near-term dilution risk [1]. The stock has appreciated 220% from its 52-week low of $8.88 to $28.38, reflecting growing investor confidence in the casdatifan data, but at $3.6B market cap versus $236M TTM revenue, the valuation depends entirely on pipeline success.</w:t>
      </w:r>
    </w:p>
    <w:p>
      <w:pPr>
        <w:spacing w:after="120"/>
      </w:pPr>
      <w:r>
        <w:rPr>
          <w:rFonts w:ascii="Calibri" w:hAnsi="Calibri"/>
          <w:b w:val="0"/>
          <w:color w:val="3A4A28"/>
          <w:sz w:val="20"/>
        </w:rPr>
        <w:t>The bear case is centered on clinical risk and binary outcomes. The Phase 3 STAR-221 futility discontinuation demonstrated that even late-stage programs can fail, destroying value — and Arcus has no marketed products to provide a revenue floor if casdatifan or other programs disappoint [3]. The -$369M annual net loss and -156% profit margin reflect a company that is entirely dependent on future clinical and commercial success to justify its $3.6B market cap [1][5]. Cash burn of approximately $128M per quarter means the $876M cash position provides limited margin for delays or additional trial requirements. The avg daily volume of approximately 58K shares raises liquidity concerns for institutional investors seeking to build or exit meaningful positions [5]. Glassdoor reviews citing leadership dysfunction add execution risk to an already challenging drug development environment [2]. Revenue is almost entirely Gilead collaboration payments, which are lumpy and declining (Q1 2026 $17M vs Q1 2025 $28M), providing no stable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Casdatifan Phase 3 data readout in clear cell renal cell carcinoma — positive results could position the drug as a first-in-class HIF-2a inhibitor for a large oncology indication and drive significant stock re-rating</w:t>
      </w:r>
    </w:p>
    <w:p>
      <w:pPr>
        <w:spacing w:before="40" w:after="40"/>
        <w:ind w:left="283"/>
      </w:pPr>
      <w:r>
        <w:rPr>
          <w:rFonts w:ascii="Calibri" w:hAnsi="Calibri"/>
          <w:b/>
          <w:color w:val="4A6B25"/>
          <w:sz w:val="20"/>
        </w:rPr>
        <w:t xml:space="preserve">2. </w:t>
      </w:r>
      <w:r>
        <w:rPr>
          <w:rFonts w:ascii="Calibri" w:hAnsi="Calibri"/>
          <w:b w:val="0"/>
          <w:color w:val="3A4A28"/>
          <w:sz w:val="20"/>
        </w:rPr>
        <w:t>Quemliclustat clinical data in pancreatic cancer (collaboration with Exelixis) providing pipeline diversification and potentially validating CD73 inhibition as a therapeutic approach [3]</w:t>
      </w:r>
    </w:p>
    <w:p>
      <w:pPr>
        <w:spacing w:before="40" w:after="40"/>
        <w:ind w:left="283"/>
      </w:pPr>
      <w:r>
        <w:rPr>
          <w:rFonts w:ascii="Calibri" w:hAnsi="Calibri"/>
          <w:b/>
          <w:color w:val="4A6B25"/>
          <w:sz w:val="20"/>
        </w:rPr>
        <w:t xml:space="preserve">3. </w:t>
      </w:r>
      <w:r>
        <w:rPr>
          <w:rFonts w:ascii="Calibri" w:hAnsi="Calibri"/>
          <w:b w:val="0"/>
          <w:color w:val="3A4A28"/>
          <w:sz w:val="20"/>
        </w:rPr>
        <w:t>PACIFIC-8 trial results (domvanalimab + durvalumab in Stage 3 NSCLC) providing an additional registrational pathway with AstraZeneca's durvalumab backbone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casdatifan Phase 3 failure would be catastrophic for a pre-commercial company with no marketed products and $3.6B market cap built on pipeline optionality [3]</w:t>
      </w:r>
    </w:p>
    <w:p>
      <w:pPr>
        <w:spacing w:before="40" w:after="40"/>
        <w:ind w:left="283"/>
      </w:pPr>
      <w:r>
        <w:rPr>
          <w:rFonts w:ascii="Calibri" w:hAnsi="Calibri"/>
          <w:b/>
          <w:color w:val="4A6B25"/>
          <w:sz w:val="20"/>
        </w:rPr>
        <w:t xml:space="preserve">2. </w:t>
      </w:r>
      <w:r>
        <w:rPr>
          <w:rFonts w:ascii="Calibri" w:hAnsi="Calibri"/>
          <w:b w:val="0"/>
          <w:color w:val="3A4A28"/>
          <w:sz w:val="20"/>
        </w:rPr>
        <w:t>Cash burn of ~$128M/quarter on $876M cash position requires successful clinical execution within approximately 7 quarters or additional capital raises that would dilute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Low avg daily trading volume (~58K shares, $1.6M daily value) creates liquidity risk and limits institutional participation, potentially amplifying volatility around clinical data readouts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Arcus' core business — discovering and developing novel cancer immunotherapy drugs — is structurally immune to AI disruption. Drug development requires physical synthesis of molecules, in vivo biological testing, multi-year clinical trials with real patients, FDA regulatory approval based on clinical data, and Good Manufacturing Practice (GMP) drug manufacturing [3]. AI cannot substitute for any of these physical processes. Orphan drug designations and regulatory exclusivity periods provide additional moats. AI may accelerate competitor drug discovery timelines, but Arcus' specific molecular targets (HIF-2a, CD73, TIGIT) require extensive proprietary biological validation that AI alone cannot replicate. AI Opportunity (0/1): No evidence of AI-powered products, AI-driven drug discovery tools, or quantifiable AI revenue contribution at Arcus. R&amp;D processes rely on traditional medicinal chemistry and immunology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Arcus Biosciences Q1 2026 Earnings Release — $17M revenue, $128M net loss, $876M cash, pipeline update, BioSpace, May 2026</w:t>
      </w:r>
    </w:p>
    <w:p>
      <w:pPr>
        <w:spacing w:before="20" w:after="20"/>
        <w:ind w:left="170"/>
      </w:pPr>
      <w:r>
        <w:rPr>
          <w:rFonts w:ascii="Calibri" w:hAnsi="Calibri"/>
          <w:b/>
          <w:color w:val="4A6B25"/>
          <w:sz w:val="15"/>
        </w:rPr>
        <w:t xml:space="preserve">2. </w:t>
      </w:r>
      <w:r>
        <w:rPr>
          <w:rFonts w:ascii="Calibri" w:hAnsi="Calibri"/>
          <w:b w:val="0"/>
          <w:color w:val="3A4A28"/>
          <w:sz w:val="17"/>
        </w:rPr>
        <w:t>Arcus Biosciences Leadership and Glassdoor Reviews — 3.5/5 rating, co-founder leadership concerns,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Arcus Biosciences STAR-221 Discontinuation and Pipeline Update — domvanalimab futility, casdatifan/quemliclustat focus, BioPharma Dive, 2025</w:t>
      </w:r>
    </w:p>
    <w:p>
      <w:pPr>
        <w:spacing w:before="20" w:after="20"/>
        <w:ind w:left="170"/>
      </w:pPr>
      <w:r>
        <w:rPr>
          <w:rFonts w:ascii="Calibri" w:hAnsi="Calibri"/>
          <w:b/>
          <w:color w:val="4A6B25"/>
          <w:sz w:val="15"/>
        </w:rPr>
        <w:t xml:space="preserve">4. </w:t>
      </w:r>
      <w:r>
        <w:rPr>
          <w:rFonts w:ascii="Calibri" w:hAnsi="Calibri"/>
          <w:b w:val="0"/>
          <w:color w:val="3A4A28"/>
          <w:sz w:val="17"/>
        </w:rPr>
        <w:t>Arcus Biosciences Insider Transactions — net insider selling reported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RCUS Key Statistics, Market Cap $3.57B,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