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REG</w:t>
      </w:r>
      <w:r>
        <w:rPr>
          <w:rFonts w:ascii="Calibri" w:hAnsi="Calibri"/>
          <w:b/>
          <w:color w:val="1A2010"/>
          <w:sz w:val="40"/>
        </w:rPr>
        <w:t xml:space="preserve">  Regency Centers Corporation</w:t>
      </w:r>
    </w:p>
    <w:p>
      <w:pPr>
        <w:spacing w:after="120"/>
      </w:pPr>
      <w:r>
        <w:rPr>
          <w:rFonts w:ascii="Calibri" w:hAnsi="Calibri"/>
          <w:b/>
          <w:color w:val="6E8450"/>
          <w:sz w:val="18"/>
        </w:rPr>
        <w:t>DIVIDEND SLEEVE · 2026-07-29 · Inspire: 69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NASDAQ · United States</w:t>
      </w:r>
    </w:p>
    <w:p>
      <w:pPr>
        <w:spacing w:after="80"/>
      </w:pPr>
      <w:r>
        <w:rPr>
          <w:rFonts w:ascii="Calibri" w:hAnsi="Calibri"/>
          <w:b w:val="0"/>
          <w:color w:val="3A4A28"/>
          <w:sz w:val="20"/>
        </w:rPr>
        <w:t>Regency Centers Corporation is a preeminent S&amp;P 500 REIT that owns, operates, and develops grocery-anchored, open-air neighborhood and community shopping centers across the United States. The portfolio comprises approximately 480 properties totaling 57 million square feet, primarily anchored by market-leading grocery stores and complemented by restaurants, medical offices, fitness centers, and essential service retailers. IPO in 1993, incorporated in 1963. Headquartered in Jacksonville, Florida.</w:t>
      </w:r>
    </w:p>
    <w:p>
      <w:r>
        <w:rPr>
          <w:rFonts w:ascii="Calibri" w:hAnsi="Calibri"/>
          <w:b/>
          <w:color w:val="6E8450"/>
          <w:sz w:val="18"/>
        </w:rPr>
        <w:t>503 Employees · https://www.regencycenters.com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Regency has delivered consistent operational excellence — Q1 2026 same-property NOI grew 4.4% with base rent growth of 3.5% and leased occupancy approaching 97% [1][2]. However, the core business model of grocery-anchored shopping center ownership and operation has not materially changed in decades. The Urstadt Biddle acquisition (2023, ~$1.4B) expanded the portfolio but was additive rather than transformative. AI Deployment (0/2): No evidence of AI deployment in property management, tenant analytics, or operational optimization. Regency tracks AI-driven changes in corporate governance but has no transformative AI initiatives [3]. Market Share (2/2): Regency is one of the preeminent grocery-anchored shopping center REITs nationally, with S&amp;P 500 membership since 2017, approximately 480 properties, and compelling suburban demographics across its portfolio — a clear category leader [1]. Product Pipeline (1/2): Active development and redevelopment pipeline exceeding $600M in total value, with management describing it as a strategic differentiator for shareholder value creation [2]. R&amp;D Intensity (0/1): REITs do not conduct formal R&amp;D; innovation is through property selection, tenant curation, and development execution.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Regency's mission to be the preeminent owner, operator, and developer of high-quality grocery-anchored shopping centers is specific and thoughtful — the deliberate focus on grocery-anchored centers reflects genuine intentionality about connecting neighborhoods with essential services (food, healthcare, personal care), differentiating from general retail REITs [3]. The 60+ year corporate history since 1963 incorporation demonstrates consistent dedication to this purpose. Community Impact (1/2): Corporate responsibility program built on four pillars (People, Communities, Ethics/Governance, Environmental Stewardship) with SBTi-endorsed GHG reduction targets and environmental initiatives across the portfolio [3]. Properties serve as community gathering places anchored by essential services. Employee Retention (1/2): Glassdoor ratings of 4.3/5 for work-life balance and 4.2/5 for culture and values are well above average, with CEO Lisa Palmer emphasizing transparency, honesty, and respect as cultural pillars [4]. The lean team of 503 employees managing a $15B portfolio indicates high trust and efficiency. Insider Buying (0/2): $40.8M in insider sell-offs over the last 12 months with zero insider purchases. Executive Chairman Martin Stein Jr. disposed of 274,615 shares ($21.5M) in May 2026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strong results across most metrics despite REIT structural headwinds. D/E of 77% is near the 70% target (scoring 0.97) [5]. Revenue growth of 7.2% YoY for 2025 scores well (0.91), and 5-year revenue CAGR of ~8% approaches the 10% target (scoring 0.87) [1]. Profit margin of 32.7% exceeds the 20% target [5]. ROE of 7.7% is modest (scoring 0.51) — typical for equity-intensive REITs. Forward P/E of 32.2 is elevated (scoring 0.70), reflecting premium REIT valuation. REIT-required dividend payout ratio of 107% exceeds the 100% floor (scoring 0.0) — a structural penalty for all REITs under this framework. Dividend strengths compensate: 30+ consecutive years of payments (scoring 1.0 at 2x weight), estimated 10 consecutive years of growth (scoring 1.0), and approximately 4.9% 5-year dividend growth CAGR (scoring 0.82 at 2x weight) [5]. Liquidity floor cleared: 1.06M avg volume x $79.32 = $83.8M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Regency Centers plays a steady, disciplined game built on 60+ years of consistent execution in grocery-anchored retail — the kind of durability Sinek values. CEO Lisa Palmer's emphasis on culture, transparency, and community connection aligns with infinite game values. However, the company lacks a true Just Cause beyond market leadership in shopping centers, has not demonstrated existential flexibility (the same strategy for decades), and massive insider selling ($40.8M) without any purchases suggests executives may be playing a personal finite game even as the company plays a longer one.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'To be the preeminent national owner, operator, and developer of high-quality, grocery-anchored shopping centers' is a market positioning statement, not a Just Cause [3]. It describes what the company wants to be (preeminent) and what it does (shopping centers), not a vision of a better future that invites sacrifice. The grocery-anchor focus connects to community needs (food access, essential services), but this is a business model choice, not a cause. Sinek would note that 60 years of execution demonstrates durability, but durability alone is not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Lisa Palmer has cultivated a culture of transparency, honesty, and respect with a 'kindness at Regency' ethos [4]. Glassdoor ratings of 4.3/5 for work-life balance and 4.2/5 for culture/values confirm this internally. The lean team of 503 managing a $15B portfolio indicates high trust and empowerment. However, 3.3/5 for career opportunities suggests room for improvement in talent development, and the orderly but methodical leadership transition from Hap Stein to Palmer era shows continuity more than transformative leadership.</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Regency competes against Federal Realty, Kimco Realty, Brixmor, and Kite Realty in the open-air retail REIT space. The competitive dynamic has driven Regency to differentiate through grocery-anchor focus, tenant curation, and development capability rather than pure scale competition [1]. Achieving S&amp;P 500 membership since 2017 demonstrates using rivalry to rise to sector leadership through quality rather than size.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Regency evolved from a general retail REIT to a focused grocery-anchored strategy, a deliberate narrowing that proved prescient through the e-commerce revolution and pandemic [1]. The company adapted to the 'retail apocalypse' narrative by doubling down on e-commerce-resistant tenants (grocery, medical, services) rather than diversifying into other real estate types. This represents strategic adaptation, though incremental rather than transformative — the company has operated fundamentally the same business for decades.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Lisa Palmer was appointed during the 2020 pandemic and chose to double down on grocery-anchored retail when the market was questioning all retail real estate, demonstrating conviction in the company's strategy. The SBTi-endorsed net-zero by 2050 commitment shows willingness to make long-term environmental investments [3]. The $600M+ development pipeline represents ongoing capital deployment in new properties. However, $40.8M in insider selling with zero purchases by any executive suggests leadership may not be personally investing in the long-term thesis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Regency Centers is a best-in-class grocery-anchored REIT with accelerating operational momentum — Q1 2026 delivered EPS of $0.68 (beating estimates by 9.5%), revenue of $425.8M (beating by 3.0%), same-property NOI growth of 4.4%, and leased occupancy approaching 97% [2]. The grocery-anchored model provides recession-resistant income from essential services that are structurally immune to both e-commerce and AI disruption, validated by 60+ years of corporate history and strong performance through multiple crises. The 3.88% dividend yield with 30+ consecutive years of payments provides reliable income for dividend-focused portfolios, and the Inspire score of 69 (ALIGNED) with zero negative attributions and 14 positive attributions makes Regency ideal for faith-based investors seeking real estate exposure [5]. The $600M+ development pipeline positions the company for continued growth through property creation.</w:t>
      </w:r>
    </w:p>
    <w:p>
      <w:pPr>
        <w:spacing w:after="120"/>
      </w:pPr>
      <w:r>
        <w:rPr>
          <w:rFonts w:ascii="Calibri" w:hAnsi="Calibri"/>
          <w:b w:val="0"/>
          <w:color w:val="3A4A28"/>
          <w:sz w:val="20"/>
        </w:rPr>
        <w:t>The bear case centers on valuation and structural REIT challenges. At 27.1x trailing P/E and 32.2x forward P/E, Regency is priced as a premium REIT with limited margin of safety if same-property NOI growth slows below the 3.25-3.75% guidance range [2]. ROE of 7.7% is modest even for an equity REIT, and D/E of 77% creates interest rate sensitivity — rising rates increase borrowing costs and compress REIT valuations across the sector [5]. The 107% GAAP payout ratio means the dividend exceeds reported earnings (standard REIT accounting, as FFO-based payout is healthier, but a mechanical scoring headwind). The $40.8M in insider selling with zero purchases by any executive over the past 12 months — including Chairman Stein disposing of $21.5M — signals insiders may view current valuation as full [5]. While grocery anchors are resilient, non-grocery tenants (25-30% of revenue from restaurants, services, specialty retail) remain vulnerable to consumer spending shifts and economic downturns.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Same-property NOI growth of 3.25-3.75% and Core Operating Earnings growth of 4.5% at midpoint maintained as 2026 guidance, with Q1 2026 results tracking above midpoint [2]</w:t>
      </w:r>
    </w:p>
    <w:p>
      <w:pPr>
        <w:spacing w:before="40" w:after="40"/>
        <w:ind w:left="283"/>
      </w:pPr>
      <w:r>
        <w:rPr>
          <w:rFonts w:ascii="Calibri" w:hAnsi="Calibri"/>
          <w:b/>
          <w:color w:val="4A6B25"/>
          <w:sz w:val="20"/>
        </w:rPr>
        <w:t xml:space="preserve">2. </w:t>
      </w:r>
      <w:r>
        <w:rPr>
          <w:rFonts w:ascii="Calibri" w:hAnsi="Calibri"/>
          <w:b w:val="0"/>
          <w:color w:val="3A4A28"/>
          <w:sz w:val="20"/>
        </w:rPr>
        <w:t>Grocery-anchored model benefiting from secular shift toward necessity-based, e-commerce-resistant retail as consumers prioritize in-person food shopping, medical visits, and personal services [1]</w:t>
      </w:r>
    </w:p>
    <w:p>
      <w:pPr>
        <w:spacing w:before="40" w:after="40"/>
        <w:ind w:left="283"/>
      </w:pPr>
      <w:r>
        <w:rPr>
          <w:rFonts w:ascii="Calibri" w:hAnsi="Calibri"/>
          <w:b/>
          <w:color w:val="4A6B25"/>
          <w:sz w:val="20"/>
        </w:rPr>
        <w:t xml:space="preserve">3. </w:t>
      </w:r>
      <w:r>
        <w:rPr>
          <w:rFonts w:ascii="Calibri" w:hAnsi="Calibri"/>
          <w:b w:val="0"/>
          <w:color w:val="3A4A28"/>
          <w:sz w:val="20"/>
        </w:rPr>
        <w:t>Leased occupancy approaching 97% with $600M+ development pipeline creating new shareholder value through ground-up development at attractive yields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valuation — 27.1x trailing P/E and 32.2x forward P/E leave limited margin of safety if same-property NOI growth disappoints or interest rates rise, compressing REIT multiples [5]</w:t>
      </w:r>
    </w:p>
    <w:p>
      <w:pPr>
        <w:spacing w:before="40" w:after="40"/>
        <w:ind w:left="283"/>
      </w:pPr>
      <w:r>
        <w:rPr>
          <w:rFonts w:ascii="Calibri" w:hAnsi="Calibri"/>
          <w:b/>
          <w:color w:val="4A6B25"/>
          <w:sz w:val="20"/>
        </w:rPr>
        <w:t xml:space="preserve">2. </w:t>
      </w:r>
      <w:r>
        <w:rPr>
          <w:rFonts w:ascii="Calibri" w:hAnsi="Calibri"/>
          <w:b w:val="0"/>
          <w:color w:val="3A4A28"/>
          <w:sz w:val="20"/>
        </w:rPr>
        <w:t>Massive insider selling — $40.8M in executive share sales with zero insider purchases over the past 12 months signals potential overvaluation concern from those closest to the business [5]</w:t>
      </w:r>
    </w:p>
    <w:p>
      <w:pPr>
        <w:spacing w:before="40" w:after="40"/>
        <w:ind w:left="283"/>
      </w:pPr>
      <w:r>
        <w:rPr>
          <w:rFonts w:ascii="Calibri" w:hAnsi="Calibri"/>
          <w:b/>
          <w:color w:val="4A6B25"/>
          <w:sz w:val="20"/>
        </w:rPr>
        <w:t xml:space="preserve">3. </w:t>
      </w:r>
      <w:r>
        <w:rPr>
          <w:rFonts w:ascii="Calibri" w:hAnsi="Calibri"/>
          <w:b w:val="0"/>
          <w:color w:val="3A4A28"/>
          <w:sz w:val="20"/>
        </w:rPr>
        <w:t>Interest rate sensitivity — D/E of 77% means rising rates increase borrowing costs and could compress the premium multiple, while non-grocery tenants face consumer spending vulnerability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Grocery-anchored shopping centers are among the most AI-immune real estate assets. Grocery shopping, dining, medical offices, fitness centers, and personal services (haircuts, nail salons) are inherently physical experiences that AI and e-commerce cannot replicate [1]. Regency's tenant mix is specifically curated to resist e-commerce disruption — a strategy validated by the sector's outperformance through the e-commerce revolution and pandemic. Physical real estate in high-quality suburban locations with compelling demographics is structurally irreplaceable. AI demand for data centers and infrastructure may indirectly support commercial real estate demand in tech corridors where Regency operates. AI Opportunity (0/1): Regency does not generate revenue from AI-related products or services. AI could modestly improve property management and tenant analytics, but no AI revenue contribution has been identified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Regency Centers Q4/FY2025 Results — $1.55B revenue (up 7.2%), $513.8M earnings (up 32.9%), investors.regencycenters.com, February 2026</w:t>
      </w:r>
    </w:p>
    <w:p>
      <w:pPr>
        <w:spacing w:before="20" w:after="20"/>
        <w:ind w:left="170"/>
      </w:pPr>
      <w:r>
        <w:rPr>
          <w:rFonts w:ascii="Calibri" w:hAnsi="Calibri"/>
          <w:b/>
          <w:color w:val="4A6B25"/>
          <w:sz w:val="15"/>
        </w:rPr>
        <w:t xml:space="preserve">2. </w:t>
      </w:r>
      <w:r>
        <w:rPr>
          <w:rFonts w:ascii="Calibri" w:hAnsi="Calibri"/>
          <w:b w:val="0"/>
          <w:color w:val="3A4A28"/>
          <w:sz w:val="17"/>
        </w:rPr>
        <w:t>Regency Centers Q1 2026 Results — EPS $0.68 (beat 9.5%), revenue $425.8M (beat 3.0%), Same-Property NOI +4.4%, full-year 2026 guidance maintained, investors.regencycenters.com, April 2026</w:t>
      </w:r>
    </w:p>
    <w:p>
      <w:pPr>
        <w:spacing w:before="20" w:after="20"/>
        <w:ind w:left="170"/>
      </w:pPr>
      <w:r>
        <w:rPr>
          <w:rFonts w:ascii="Calibri" w:hAnsi="Calibri"/>
          <w:b/>
          <w:color w:val="4A6B25"/>
          <w:sz w:val="15"/>
        </w:rPr>
        <w:t xml:space="preserve">3. </w:t>
      </w:r>
      <w:r>
        <w:rPr>
          <w:rFonts w:ascii="Calibri" w:hAnsi="Calibri"/>
          <w:b w:val="0"/>
          <w:color w:val="3A4A28"/>
          <w:sz w:val="17"/>
        </w:rPr>
        <w:t>Regency Centers Corporate Responsibility Report — four pillars, SBTi net-zero by 2050, environmental initiatives, regencycenters.com, 2024</w:t>
      </w:r>
    </w:p>
    <w:p>
      <w:pPr>
        <w:spacing w:before="20" w:after="20"/>
        <w:ind w:left="170"/>
      </w:pPr>
      <w:r>
        <w:rPr>
          <w:rFonts w:ascii="Calibri" w:hAnsi="Calibri"/>
          <w:b/>
          <w:color w:val="4A6B25"/>
          <w:sz w:val="15"/>
        </w:rPr>
        <w:t xml:space="preserve">4. </w:t>
      </w:r>
      <w:r>
        <w:rPr>
          <w:rFonts w:ascii="Calibri" w:hAnsi="Calibri"/>
          <w:b w:val="0"/>
          <w:color w:val="3A4A28"/>
          <w:sz w:val="17"/>
        </w:rPr>
        <w:t>Glassdoor / CEO Lisa Palmer — 4.3/5 work-life balance, 4.2/5 culture, transparency/honesty/respect values,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Finexus / Yahoo Finance — REG Key Statistics, $40.8M insider selling, 30+ years dividends,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OUTFRONT Media Stock Outlook — OOH market context, Yahoo Finance,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