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REXR</w:t>
      </w:r>
      <w:r>
        <w:rPr>
          <w:rFonts w:ascii="Calibri" w:hAnsi="Calibri"/>
          <w:b/>
          <w:color w:val="1A2010"/>
          <w:sz w:val="40"/>
        </w:rPr>
        <w:t xml:space="preserve">  Rexford Industrial Realty, Inc.</w:t>
      </w:r>
    </w:p>
    <w:p>
      <w:pPr>
        <w:spacing w:after="120"/>
      </w:pPr>
      <w:r>
        <w:rPr>
          <w:rFonts w:ascii="Calibri" w:hAnsi="Calibri"/>
          <w:b/>
          <w:color w:val="6E8450"/>
          <w:sz w:val="18"/>
        </w:rPr>
        <w:t>DIVIDEND SLEEVE · 2026-09-07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Rexford Industrial Realty is a pure-play infill industrial REIT focused exclusively on Southern California, the largest and most supply-constrained industrial market in the United States. The portfolio comprises 409 properties with approximately 49.9 million rentable square feet, serving logistics, e-commerce, and light manufacturing tenants. Q2 2026 total revenue was $245.5M with FFO of $152.5M ($0.68/share). H1 2026 Core FFO per diluted share was $1.24 (+2.5% YoY), and the company raised full-year guidance to Core FFO of $2.37-$2.42 per share. Q1 set a record with 4.1 million square feet of new leases executed. CEO Laura Clark assumed leadership in April 2026, succeeding co-founders Michael Frankel and Howard Schwimmer. Market cap approximately $8.6B.</w:t>
      </w:r>
    </w:p>
    <w:p>
      <w:r>
        <w:rPr>
          <w:rFonts w:ascii="Calibri" w:hAnsi="Calibri"/>
          <w:b/>
          <w:color w:val="6E8450"/>
          <w:sz w:val="18"/>
        </w:rPr>
        <w:t>300 Employees · https://www.rexfordindustrial.com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Rexford has executed a significant platform expansion from a small SoCal industrial REIT to a 409-property, 49.9M sq ft portfolio through disciplined acquisitions and development, consistently recycling capital into higher-yield infill assets [1]. The company set a record for leasing activity in Q1 2026 with 4.1M sq ft executed, validating its operational model. The growth from approximately $360M revenue in 2021 to ~$980M TTM demonstrates successful scaling of a differentiated strategy. AI Deployment (0/2): No AI-powered products or AI-driven operational efficiencies were reported. REITs generally do not deploy AI as a revenue product, and Rexford has not disclosed AI-driven property management or leasing tools. Market Share (2/2): Rexford is the dominant pure-play infill industrial REIT in Southern California — the largest, most supply-constrained industrial market in the U.S. with vacancy rates consistently below national averages [1]. The company's exclusive SoCal focus and 49.9M sq ft portfolio give it category-defining market share in its niche. Product Pipeline (0/2): As a REIT, product pipeline is measured by development and redevelopment activity. While Rexford has an active capital recycling program, no specific named development projects with revenue timelines were identified in the research. R&amp;D Intensity (0/1): REITs do not have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Rexford's stated culture centers on 'respect, collaboration, and a growth mindset' with a focus on being 'the best at what we do' — clear and well-articulated for a REIT, but not deeply distinctive or connected to a larger purpose beyond business excellence [3]. The company's sustainability commitment (SBTi-validated net zero goals) adds purpose beyond profit but the mission itself remains business-centric. Community Impact (2/2): Rexford is an S&amp;P Global Sustainability Yearbook Member (top 15% of REITs), avoided an estimated 28,500 metric tons of emissions by repurposing infill buildings rather than demolishing and rebuilding, expanded rooftop solar capacity, and developed an embodied carbon reduction strategy with SBTi-validated net zero goals [4]. This represents significant, distinctive environmental investment with specific measurable outcomes that go well beyond standard corporate ESG reporting. Employee Retention (0/2): Rexford describes a 'culture of respect and collaboration powered by an exceptional team,' but no specific employee tenure, turnover, or retention data was found. The planned leadership succession from co-founders to COO Laura Clark suggests organizational stability, but quantitative retention evidence is unavailable.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Rexford demonstrates exceptional financial strength across most metrics: D/E of 36.9% scores 1.0 (well below the 70% target and a 62% discount to the REIT sector average of 97%) [5]. Revenue growth 5yr CAGR of approximately 22% scores 1.0, reflecting the aggressive acquisition-driven growth from ~$360M to ~$980M. Profit margin of 22.9% scores 1.0 (above the 20% target). Consecutive years paid at 13 years scores 1.0 at 2x weight (consistent dividends since 2013 IPO). 5yr dividend growth CAGR of approximately 11.5% scores 1.0 at 2x weight (well above the 6% target). Consecutive years growth of approximately 10 scores 1.0. Revenue YoY growth of 3% scores 0.77. The primary drags are Forward P/E of 31.80 scoring 0.71 (premium REIT valuation), FFO payout ratio of 71.88% scoring 0.47, and ROE of 2.5% scoring 0.17 (typical for capital-intensive REITs where book equity is large). Liquidity floor easily cleared at ~$94M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Rexford exhibits several hallmarks of an infinite-game player: a genuine Just Cause around sustainable industrial infrastructure in Southern California, a deliberate co-founder succession plan (Frankel/Schwimmer to Laura Clark) that prioritizes institutional continuity over personal tenure, and significant ESG investments (SBTi net zero goals, 28,500 tons emissions avoided) that sacrifice near-term returns for long-term sustainability [3][4]. However, the company's competitive language centers on being the 'preeminent' and 'best' — performance-oriented framing typical of finite-game thinking. The capital recycling program and cost-cutting measures alongside the leadership transition suggest a pragmatic blend of infinite-game purpose and finite-game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Rexford's purpose — providing modern, sustainable industrial infrastructure in Southern California's supply-constrained infill markets — connects the company's work to something larger: enabling the logistics and manufacturing backbone that urban economies depend on while minimizing environmental impact through building repurposing rather than demolition [4]. The SBTi-validated net zero goals and S&amp;P Global Sustainability Yearbook membership (top 15% of REITs) demonstrate the cause shapes investment decisions. The co-founder succession to Laura Clark was planned years in advance, suggesting the institution transcends any individual leader. However, the cause hasn't been tested through multi-decade execution (IPO was only in 2013) or a major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Rexford describes a 'culture of respect and collaboration powered by an exceptional team' [3]. The deliberate, multi-year leadership succession — Laura Clark joined as CFO in 2020, became COO in 2024, and CEO in April 2026 — demonstrates organizational planning and internal trust that the next generation of leadership can carry the institution forward. The addition of veteran REIT executive David Stockert to the board provides governance continuity. However, no quantitative data on employee tenure, voluntary turnover, or employee satisfaction was found to validate the cultural claims beyond leadership statements.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Rexford's leadership acknowledging competitors (Prologis, Duke Realty, other industrial REITs) as worthy rivals or framing competitive dynamics as motivation for improvement. The company's positioning language centers on being the 'preeminent' infill industrial REIT — a finite-game framing focused on winning rather than improving.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Rexford has evolved from a small, acquisitive SoCal industrial REIT to a large-scale platform incorporating capital recycling (selling lower-yield assets, investing in higher-yield development), sustainability-driven property repositioning, and a shift from pure acquisition growth to organic lease-up and development. The expansion from a few dozen properties to 409 properties / 49.9M sq ft required continuous strategic adaptation [1]. However, the company remains fundamentally the same business — a SoCal industrial landlord — and has not undergone a transformative reinvention of its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co-founders' decision to step back from day-to-day leadership and hand the company to a successor (Laura Clark) after building a 409-property portfolio demonstrates willingness to prioritize institutional longevity over personal control [3]. Investing in SBTi net zero goals and embodied carbon reduction strategies costs money in the near term with uncertain returns [4]. However, these are expected behaviors for a mature, well-run REIT rather than truly courageous bets — no evidence of leadership sacrificing earnings or walking away from profitable but misaligned opportunities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Rexford Industrial at $37.56 (4.69% yield, 31.80x forward P/E) is a high-quality pure-play industrial REIT owning 409 properties across Southern California — the most supply-constrained major industrial market in the U.S. H1 2026 Core FFO per share grew 2.5% to $1.24 with full-year guidance raised to $2.37-$2.42, and Q1 set a leasing record at 4.1M sq ft, demonstrating continued demand for SoCal infill logistics space [1][2]. The balance sheet is fortress-quality with D/E of 36.9% (62% below the REIT sector average), providing capacity for opportunistic acquisitions and development. The dividend has grown at an 11.5% 5-year CAGR with 13 consecutive years of payment since IPO and a manageable 72% FFO payout ratio. ESG leadership (S&amp;P Global Sustainability Yearbook, SBTi net zero) and the planned CEO succession to Laura Clark provide governance stability and institutional quality [3][4]. The Inspire Impact Score of 66 (ALIGNED) with zero negative attributions makes REXR particularly attractive for faith-based portfolios.</w:t>
      </w:r>
    </w:p>
    <w:p>
      <w:pPr>
        <w:spacing w:after="120"/>
      </w:pPr>
      <w:r>
        <w:rPr>
          <w:rFonts w:ascii="Calibri" w:hAnsi="Calibri"/>
          <w:b w:val="0"/>
          <w:color w:val="3A4A28"/>
          <w:sz w:val="20"/>
        </w:rPr>
        <w:t>The bear case centers on valuation premium, growth deceleration, and concentration risk. Forward P/E of 31.80 prices REXR at a significant premium to REIT peers, requiring sustained growth to justify the multiple — yet Core FFO per share growth has decelerated to 2.5% (H1 2026), and Q1 Total Portfolio NOI declined 4.2% YoY, suggesting the acquisition-driven growth era is slowing [1][2]. ROE of 2.5% reflects the capital-intensive nature of the business and means each dollar of equity generates minimal returns compared to non-REIT companies in the IOWN framework. The exclusive SoCal focus — while a strategic strength in a supply-constrained market — creates geographic concentration risk: a Southern California economic downturn, natural disaster (earthquake, wildfire), or regulatory change could disproportionately impact the portfolio. The CEO transition from co-founders Frankel and Schwimmer to Clark introduces leadership risk, though the multi-year grooming process mitigates this concern [3]. Rising interest rates could compress REIT valuations industry-wide and increase the cost of future acquisitions. The GAAP payout ratio of 194% (though standard for REITs due to depreciation) means the company distributes more than GAAP net income, requiring capital markets access for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Southern California industrial vacancy rates remaining near historic lows create embedded rent growth — mark-to-market lease spreads could drive organic NOI growth as below-market leases roll to current market rents across the 49.9M sq ft portfolio [1]</w:t>
      </w:r>
    </w:p>
    <w:p>
      <w:pPr>
        <w:spacing w:before="40" w:after="40"/>
        <w:ind w:left="283"/>
      </w:pPr>
      <w:r>
        <w:rPr>
          <w:rFonts w:ascii="Calibri" w:hAnsi="Calibri"/>
          <w:b/>
          <w:color w:val="4A6B25"/>
          <w:sz w:val="20"/>
        </w:rPr>
        <w:t xml:space="preserve">2. </w:t>
      </w:r>
      <w:r>
        <w:rPr>
          <w:rFonts w:ascii="Calibri" w:hAnsi="Calibri"/>
          <w:b w:val="0"/>
          <w:color w:val="3A4A28"/>
          <w:sz w:val="20"/>
        </w:rPr>
        <w:t>Capital recycling program selling lower-yield assets and reinvesting in higher-yield development/redevelopment projects could accelerate FFO per share growth beyond the current 2.5% trajectory, particularly as the new CEO Laura Clark implements her strategic vision [3]</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last-mile logistics and e-commerce fulfillment facilities in dense urban markets, potentially amplified by AI-driven warehouse automation adoption, benefits Rexford's irreplaceable infill locations where new supply is physically constrained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as the acquisition opportunity set narrows — Q1 Total Portfolio NOI declined 4.2% YoY and Core FFO growth slowed to 2.5%, raising questions about whether the premium valuation (31.80x forward P/E) is sustainable without reacceleration [1][2]</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Southern California exposes the portfolio to regional economic risk, seismic events, wildfire disruption, and state-level regulatory changes (rent control debates, building code requirements, environmental mandates) that could impair property values or operating costs [1]</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as Laura Clark takes leadership from co-founders who built the company from IPO — while the transition was planned over years, Clark's strategic priorities and capital allocation decisions have not yet been tested through a full market cycle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Rexford's core business — owning, operating, and leasing physical industrial real estate in Southern California's supply-constrained infill markets — is structurally immune to AI disruption [1]. Warehouses, distribution centers, and light manufacturing facilities are tangible assets that AI cannot substitute, replicate, or displace. AI may even increase demand for Rexford's properties: the growth of e-commerce (which requires last-mile logistics facilities) and AI data center buildouts both drive incremental demand for industrial space in dense urban infill locations where new supply is physically constrained by zoning, land scarcity, and entitlement barriers. The regulated nature of real estate (zoning, leasing law, property rights) adds additional moat depth. No analysts have identified AI as a risk to industrial REITs; if anything, AI is a demand tailwind. AI Opportunity (0/1): Rexford does not generate revenue from AI products or services. The company is a landlord, not a technology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Rexford Industrial Q1 2026 Financial Results — Core FFO $139.8M, Record 4.1M Sq Ft Leased, Total Portfolio NOI $185.4M (-4.2% YoY), 409 Properties / 49.9M Sq Ft — PRNewswire,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Rexford Industrial Q2 2026 Financial Results — Revenue $245.5M, FFO $152.5M ($0.68/share), H1 Core FFO Per Share $1.24 (+2.5%), FY2026 Guidance $2.37-$2.42 — Rexford IR, July 2026</w:t>
      </w:r>
    </w:p>
    <w:p>
      <w:pPr>
        <w:spacing w:before="20" w:after="20"/>
        <w:ind w:left="170"/>
      </w:pPr>
      <w:r>
        <w:rPr>
          <w:rFonts w:ascii="Calibri" w:hAnsi="Calibri"/>
          <w:b/>
          <w:color w:val="4A6B25"/>
          <w:sz w:val="15"/>
        </w:rPr>
        <w:t xml:space="preserve">3. </w:t>
      </w:r>
      <w:r>
        <w:rPr>
          <w:rFonts w:ascii="Calibri" w:hAnsi="Calibri"/>
          <w:b w:val="0"/>
          <w:color w:val="3A4A28"/>
          <w:sz w:val="17"/>
        </w:rPr>
        <w:t>Rexford Industrial Leadership Transition — CEO Laura Clark (April 2026), Co-Founder Succession, Board Member David Stockert, Culture of Respect and Collaboration — PRNewswire, Simply Wall St, 2025-2026</w:t>
      </w:r>
    </w:p>
    <w:p>
      <w:pPr>
        <w:spacing w:before="20" w:after="20"/>
        <w:ind w:left="170"/>
      </w:pPr>
      <w:r>
        <w:rPr>
          <w:rFonts w:ascii="Calibri" w:hAnsi="Calibri"/>
          <w:b/>
          <w:color w:val="4A6B25"/>
          <w:sz w:val="15"/>
        </w:rPr>
        <w:t xml:space="preserve">4. </w:t>
      </w:r>
      <w:r>
        <w:rPr>
          <w:rFonts w:ascii="Calibri" w:hAnsi="Calibri"/>
          <w:b w:val="0"/>
          <w:color w:val="3A4A28"/>
          <w:sz w:val="17"/>
        </w:rPr>
        <w:t>Rexford Industrial ESG — S&amp;P Global Sustainability Yearbook Member (Top 15% REITs), 28,500 Metric Tons Emissions Avoided, SBTi Net Zero Goals, Embodied Carbon Strategy — Rexford IR, PRNewswire,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REXR Key Statistics: Stock Price $37.56, Forward P/E 31.80, D/E 36.9%, Dividend Yield 4.69%, FFO Payout 71.88%,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