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RGNX</w:t>
      </w:r>
      <w:r>
        <w:rPr>
          <w:rFonts w:ascii="Calibri" w:hAnsi="Calibri"/>
          <w:b/>
          <w:color w:val="1A2010"/>
          <w:sz w:val="40"/>
        </w:rPr>
        <w:t xml:space="preserve">  REGENXBIO Inc.</w:t>
      </w:r>
    </w:p>
    <w:p>
      <w:pPr>
        <w:spacing w:after="120"/>
      </w:pPr>
      <w:r>
        <w:rPr>
          <w:rFonts w:ascii="Calibri" w:hAnsi="Calibri"/>
          <w:b/>
          <w:color w:val="6E8450"/>
          <w:sz w:val="18"/>
        </w:rPr>
        <w:t>GROWTH SLEEVE · 2026-08-09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REGENXBIO Inc. is a clinical-stage biotechnology company developing gene therapies using its proprietary NAV adeno-associated virus (AAV) vector platform. The company has end-to-end in-house capabilities from capsid engineering and discovery through commercial-ready manufacturing. Lead programs include RGX-202 for Duchenne muscular dystrophy (DMD) and surabgene lomparvovec (sura-vec) for wet AMD and diabetic retinopathy in partnership with AbbVie. Founded in 2008, headquartered in Rockville, Maryland. Market cap approximately $708M.</w:t>
      </w:r>
    </w:p>
    <w:p>
      <w:r>
        <w:rPr>
          <w:rFonts w:ascii="Calibri" w:hAnsi="Calibri"/>
          <w:b/>
          <w:color w:val="6E8450"/>
          <w:sz w:val="18"/>
        </w:rPr>
        <w:t>https://www.regenxbio.com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REGENXBIO achieved a landmark clinical milestone with the Phase III AFFINITY DUCHENNE trial for RGX-202 meeting its primary endpoint — 93% of patients achieved &gt;10% microdystrophin expression with statistically significant correlation to functional improvement, supporting plans for accelerated approval and potential 2027 commercial launch [1][6]. The company also secured a $100M AbbVie milestone payment for sura-vec in Q2 2026. However, the FDA rejected RGX-121 for Hunter syndrome in February 2026 and placed clinical holds on both MPS I and MPS II programs following tumor detection in a trial participant, representing significant setbacks [4]. AI Deployment (0/2): No AI-powered products or AI-driven operational efficiencies reported. Pipeline development relies on proprietary NAV AAV vector technology and traditional molecular biology approaches rather than AI-driven drug discovery. Market Share (1/2): REGENXBIO is one of the few gene therapy companies with fully in-house, end-to-end capabilities from capsid engineering through commercial manufacturing — a rarity in the industry validated by an FDA manufacturing inspection with zero observations [3][6]. However, the company has no commercial products and no market share to claim. Product Pipeline (2/2): Strong near-term catalysts with specific timelines: RGX-202 BLA filing for DMD accelerated approval targeting 2027 launch, sura-vec (ABBV-RGX-314) pivotal trial topline data from ATMOSPHERE and ASCENT trials expected Q4 2026 for wet AMD and diabetic retinopathy [1][6]. R&amp;D Intensity (1/1): As a clinical-stage biotech, the vast majority of spending is directed to R&amp;D; operating expenses significantly exceed revenue, indicating top-quartile R&amp;D intensity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REGENXBIO's purpose — developing gene therapy products for patients with limited or no therapeutic options — is specific, thoughtful, and connects the company's work to a genuinely important larger purpose: curing genetic diseases [3]. Founder Kenneth Mills led the company for 15 years in pursuit of this mission, and new CEO Curran Simpson (a 10-year company veteran elevated in July 2025) has maintained strategic continuity. The mission differentiates from peers through its focus on proprietary AAV vector technology as the enabling platform. The purpose clearly shapes strategic decisions — concentrating on rare diseases and genetically defined conditions with unmet medical need. Community Impact (0/2): No specific charitable programs, foundation activities, or community investment beyond the company's core gene therapy mission were identified. Employee Retention (1/2): The CEO transition from Kenneth Mills (15-year tenure as founder/CEO) to Curran Simpson (10+ years at the company, rising from COO) demonstrates leadership continuity and internal bench strength [3]. Mills remaining as board chair ensures strategic continuity. This planned succession from a long-tenured founder to a long-tenured internal successor indicates a culture where key leaders stay. Insider Buying (0/2): No evidence of meaningful insider buying was identified in recent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REGENXBIO's financial profile reflects a pre-commercial biotech burning cash to fund late-stage clinical development. D/E of 349% exceeds the 300% floor, scoring 0 [5]. ROE of -137.6% is deeply negative, reflecting $196M in TTM net losses against a shrinking equity base [5]. Profit margin of -112.6% reflects operating losses that exceed revenue due to clinical trial and manufacturing expenses [5]. Revenue of $174.5M TTM is lumpy and milestone-driven — Q2 2026 revenue of $108M included a $100M AbbVie milestone payment, while Q1 2026 revenue was only $6.4M after prior license revenue rolled off [1][2]. Free cash flow of -$249.7M TTM and an Altman Z-Score of -3.82 indicate elevated bankruptcy risk. Cash of $310M+ provides runway into Q4 2027, but only after the $108M follow-on offering diluted existing shareholders [1]. All available metrics score at or below floor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REGENXBIO shows meaningful infinite game characteristics — a genuine patient-centered Just Cause, leadership continuity from founder Kenneth Mills through planned successor Curran Simpson, and willingness to persist through costly regulatory setbacks. The company's 18-year commitment to gene therapy since its 2008 founding, maintained through multiple technology cycles and FDA setbacks, reflects genuine long-term thinking. However, the recent CEO transition and limited evidence of competitive learning keep the score in the MIXED range.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REGENXBIO's cause — developing gene therapies for patients with limited or no treatment options — is genuinely aligned with Sinek's definition: it is resilient (independent of any single product), inclusive (inviting patients, families, and the scientific community), service-oriented (benefiting patients with rare diseases), and idealistic (a world where genetic diseases can be cured) [3][6]. The company has pursued this cause since 2008 with consistency, and founder Kenneth Mills' 15-year tenure before a planned transition to internal successor Curran Simpson demonstrates continuity of purpose. However, the cause has not yet been fully validated by commercial execution — the ultimate test is whether the purpose survives the transition from clinical-stage to commercial-stage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leadership succession from founder Kenneth Mills to 10-year veteran Curran Simpson, with Mills remaining as board chair, demonstrates a high-trust organizational model — the founder trusted his longtime COO to lead the next phase [3]. The company's culture statement emphasizes being 'focused on patients, driven by results, and fostering collaboration.' The FDA manufacturing inspection with zero observations suggests operational discipline and process maturity. However, no specific employee retention data, tenure metrics, or cultural survey evidence was found to confirm broader organizational trust beyond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REGENXBIO acknowledging competitors' strengths or using competitive pressure to improve. The gene therapy space includes strong rivals — BioMarin (BMRN) with Roctavian, Sarepta with Elevidys — but REGENXBIO's communications focus on its own platform differentiation and pipeline milestones rather than learning from competitors' successes or failures. Management's public criticism of the FDA's RGX-121 rejection, while showing conviction, does not reflect the humility toward rivals that Sinek's framework values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REGENXBIO has evolved from a gene therapy vector licensing company (collecting royalties on its NAV platform through partnerships like ZOLGENSMA) to an integrated gene therapy company with in-house manufacturing and its own clinical programs in DMD and retinal diseases [6]. The pivot from licensing-only to integrated operations required significant capital investment and organizational transformation. However, this evolution was incremental rather than transformative — the company stayed within gene therapy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REGENXBIO demonstrated courage by continuing to invest heavily in RGX-202 for DMD even after the FDA rejected RGX-121 for Hunter syndrome and placed clinical holds on both MPS programs in early 2026 — regulatory setbacks that could have triggered a strategic retreat [4][6]. Management publicly defended the science behind their MPS programs and raised $108M in a follow-on offering to fund continued development despite negative sentiment [1]. This willingness to persevere and invest through adversity, rather than cutting programs at the first regulatory headwind, reflects conviction in the long-term gene therapy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REGENXBIO is at a potential inflection point with two near-term catalysts from late-stage programs that could transform the company from a cash-burning clinical-stage biotech into a commercial gene therapy franchise. The Phase III AFFINITY DUCHENNE trial for RGX-202 met its primary endpoint with 93% microdystrophin expression, supporting a path to accelerated approval and potential 2027 launch in the $5B+ DMD market [1][6]. Sura-vec pivotal data from AbbVie-partnered ATMOSPHERE and ASCENT trials are expected Q4 2026 for wet AMD ($8B market) and diabetic retinopathy [1]. The company's in-house manufacturing capability, validated by a zero-observation FDA inspection, provides a competitive advantage in gene therapy scale-up. At $10.72, the stock trades at a 54% discount to the $23.10 consensus analyst price target, and 11 analysts rate it a Buy [5].</w:t>
      </w:r>
    </w:p>
    <w:p>
      <w:pPr>
        <w:spacing w:after="120"/>
      </w:pPr>
      <w:r>
        <w:rPr>
          <w:rFonts w:ascii="Calibri" w:hAnsi="Calibri"/>
          <w:b w:val="0"/>
          <w:color w:val="3A4A28"/>
          <w:sz w:val="20"/>
        </w:rPr>
        <w:t>The bear case centers on financial fragility and execution risk. Free cash flow of -$249.7M TTM against a D/E ratio of 349% and Altman Z-Score of -3.82 signals acute financial distress [5]. Cash runway extends only to Q4 2027, meaning the company must either secure a partnership, reach commercial revenue from RGX-202, or raise additional dilutive capital within 15 months. The FDA rejection of RGX-121 and clinical holds on MPS programs — triggered by an intraventricular tumor detection in a five-year-old trial participant potentially linked to AAV vector integration — raise safety questions about the entire AAV vector platform that could delay regulatory approvals for RGX-202 [4]. Revenue of $174.5M TTM is almost entirely milestone-dependent ($100M from AbbVie in Q2 alone), masking underlying negative operating cash flow. Gene therapy commercialization has proven extremely difficult — BioMarin's Roctavian and Bluebird's gene therapies have underperformed commercially despite regulatory approval.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RGX-202 BLA filing for accelerated approval in DMD following the positive Phase III AFFINITY DUCHENNE trial could unlock access to the $5B+ DMD treatment market with a potential 2027 commercial launch</w:t>
      </w:r>
    </w:p>
    <w:p>
      <w:pPr>
        <w:spacing w:before="40" w:after="40"/>
        <w:ind w:left="283"/>
      </w:pPr>
      <w:r>
        <w:rPr>
          <w:rFonts w:ascii="Calibri" w:hAnsi="Calibri"/>
          <w:b/>
          <w:color w:val="4A6B25"/>
          <w:sz w:val="20"/>
        </w:rPr>
        <w:t xml:space="preserve">2. </w:t>
      </w:r>
      <w:r>
        <w:rPr>
          <w:rFonts w:ascii="Calibri" w:hAnsi="Calibri"/>
          <w:b w:val="0"/>
          <w:color w:val="3A4A28"/>
          <w:sz w:val="20"/>
        </w:rPr>
        <w:t>Q4 2026 topline data from the AbbVie-partnered ATMOSPHERE and ASCENT pivotal trials for sura-vec in wet AMD and diabetic retinopathy could validate a first-in-class gene therapy in the $8B+ retinal disease market</w:t>
      </w:r>
    </w:p>
    <w:p>
      <w:pPr>
        <w:spacing w:before="40" w:after="40"/>
        <w:ind w:left="283"/>
      </w:pPr>
      <w:r>
        <w:rPr>
          <w:rFonts w:ascii="Calibri" w:hAnsi="Calibri"/>
          <w:b/>
          <w:color w:val="4A6B25"/>
          <w:sz w:val="20"/>
        </w:rPr>
        <w:t xml:space="preserve">3. </w:t>
      </w:r>
      <w:r>
        <w:rPr>
          <w:rFonts w:ascii="Calibri" w:hAnsi="Calibri"/>
          <w:b w:val="0"/>
          <w:color w:val="3A4A28"/>
          <w:sz w:val="20"/>
        </w:rPr>
        <w:t>Resolution of FDA clinical holds on MPS programs and sale of the RGX-121 Priority Review Voucher could generate additional non-dilutive capital and restore platform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Q4 2027 with -$249.7M TTM free cash flow — the company must commercialize RGX-202, secure a major partnership, or raise additional dilutive capital within 15 months to survive</w:t>
      </w:r>
    </w:p>
    <w:p>
      <w:pPr>
        <w:spacing w:before="40" w:after="40"/>
        <w:ind w:left="283"/>
      </w:pPr>
      <w:r>
        <w:rPr>
          <w:rFonts w:ascii="Calibri" w:hAnsi="Calibri"/>
          <w:b/>
          <w:color w:val="4A6B25"/>
          <w:sz w:val="20"/>
        </w:rPr>
        <w:t xml:space="preserve">2. </w:t>
      </w:r>
      <w:r>
        <w:rPr>
          <w:rFonts w:ascii="Calibri" w:hAnsi="Calibri"/>
          <w:b w:val="0"/>
          <w:color w:val="3A4A28"/>
          <w:sz w:val="20"/>
        </w:rPr>
        <w:t>FDA clinical holds on RGX-111 and RGX-121 following tumor detection in a trial participant raise platform-level safety questions about AAV vector integration that could slow or derail RGX-202 approval</w:t>
      </w:r>
    </w:p>
    <w:p>
      <w:pPr>
        <w:spacing w:before="40" w:after="40"/>
        <w:ind w:left="283"/>
      </w:pPr>
      <w:r>
        <w:rPr>
          <w:rFonts w:ascii="Calibri" w:hAnsi="Calibri"/>
          <w:b/>
          <w:color w:val="4A6B25"/>
          <w:sz w:val="20"/>
        </w:rPr>
        <w:t xml:space="preserve">3. </w:t>
      </w:r>
      <w:r>
        <w:rPr>
          <w:rFonts w:ascii="Calibri" w:hAnsi="Calibri"/>
          <w:b w:val="0"/>
          <w:color w:val="3A4A28"/>
          <w:sz w:val="20"/>
        </w:rPr>
        <w:t>Gene therapy commercialization has proven challenging industry-wide — BioMarin's Roctavian and Bluebird's Lyfgenia and Zynteglo have underperformed commercially, suggesting that even regulatory approval may not translate to financial success for RGX-202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REGENXBIO's core business — developing and manufacturing AAV-based gene therapies — is structurally immune to AI disruption. The company's value chain spans capsid engineering (physical protein design), viral vector manufacturing (biological production), clinical trials (human patient dosing), and FDA regulatory navigation — all of which require physical-world capabilities, deep regulatory expertise, and biological know-how that AI cannot substitute [3][6]. Gene therapy manufacturing is one of the most complex biopharmaceutical processes, and REGENXBIO's in-house facility passed FDA inspection with zero observations, a competitive advantage rooted in physical infrastructure. AI may enhance computational capsid design, but this would accelerate REGENXBIO's capabilities rather than threaten them. AI Opportunity (0/1): No revenue from AI-related products or services. The company's platform relies on proprietary NAV AAV technology and traditional molecular biology rather than AI-driven drug discovery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REGENXBIO Q2 2026 8-K Earnings Release — Revenue of $108M and AbbVie Milestone, July 2026</w:t>
      </w:r>
    </w:p>
    <w:p>
      <w:pPr>
        <w:spacing w:before="20" w:after="20"/>
        <w:ind w:left="170"/>
      </w:pPr>
      <w:r>
        <w:rPr>
          <w:rFonts w:ascii="Calibri" w:hAnsi="Calibri"/>
          <w:b/>
          <w:color w:val="4A6B25"/>
          <w:sz w:val="15"/>
        </w:rPr>
        <w:t xml:space="preserve">2. </w:t>
      </w:r>
      <w:r>
        <w:rPr>
          <w:rFonts w:ascii="Calibri" w:hAnsi="Calibri"/>
          <w:b w:val="0"/>
          <w:color w:val="3A4A28"/>
          <w:sz w:val="17"/>
        </w:rPr>
        <w:t>PRNewswire — REGENXBIO Q1 2026 Financial Results and Operational Highlights, May 2026</w:t>
      </w:r>
    </w:p>
    <w:p>
      <w:pPr>
        <w:spacing w:before="20" w:after="20"/>
        <w:ind w:left="170"/>
      </w:pPr>
      <w:r>
        <w:rPr>
          <w:rFonts w:ascii="Calibri" w:hAnsi="Calibri"/>
          <w:b/>
          <w:color w:val="4A6B25"/>
          <w:sz w:val="15"/>
        </w:rPr>
        <w:t xml:space="preserve">3. </w:t>
      </w:r>
      <w:r>
        <w:rPr>
          <w:rFonts w:ascii="Calibri" w:hAnsi="Calibri"/>
          <w:b w:val="0"/>
          <w:color w:val="3A4A28"/>
          <w:sz w:val="17"/>
        </w:rPr>
        <w:t>BioPharma Dive — REGENXBIO CEO Kenneth Mills Steps Down, Curran Simpson Named CEO, 2025</w:t>
      </w:r>
    </w:p>
    <w:p>
      <w:pPr>
        <w:spacing w:before="20" w:after="20"/>
        <w:ind w:left="170"/>
      </w:pPr>
      <w:r>
        <w:rPr>
          <w:rFonts w:ascii="Calibri" w:hAnsi="Calibri"/>
          <w:b/>
          <w:color w:val="4A6B25"/>
          <w:sz w:val="15"/>
        </w:rPr>
        <w:t xml:space="preserve">4. </w:t>
      </w:r>
      <w:r>
        <w:rPr>
          <w:rFonts w:ascii="Calibri" w:hAnsi="Calibri"/>
          <w:b w:val="0"/>
          <w:color w:val="3A4A28"/>
          <w:sz w:val="17"/>
        </w:rPr>
        <w:t>BioPharma Dive / Bloomberg — FDA Rejects REGENXBIO Gene Therapy for Hunter Syndrome and Clinical Holds on MPS Programs,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RGNX Key Statistics, Valuation,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PRNewswire — REGENXBIO Key 2026 Catalysts and DMD Long-Term Functional Outcomes,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