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RITR</w:t>
      </w:r>
      <w:r>
        <w:rPr>
          <w:rFonts w:ascii="Calibri" w:hAnsi="Calibri"/>
          <w:b/>
          <w:color w:val="1A2010"/>
          <w:sz w:val="40"/>
        </w:rPr>
        <w:t xml:space="preserve">  Reitar Logtech Holdings Limited</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Hong Kong</w:t>
      </w:r>
    </w:p>
    <w:p>
      <w:pPr>
        <w:spacing w:after="80"/>
      </w:pPr>
      <w:r>
        <w:rPr>
          <w:rFonts w:ascii="Calibri" w:hAnsi="Calibri"/>
          <w:b w:val="0"/>
          <w:color w:val="3A4A28"/>
          <w:sz w:val="20"/>
        </w:rPr>
        <w:t>Reitar Logtech Holdings provides construction management, engineering design, and asset management services primarily for cold storage facilities, automated warehouses, and logistics infrastructure in Hong Kong. The company also offers professional consultancy services and is pursuing AI-driven logistics automation through partnerships. Listed on NASDAQ in 2024 via a Cayman Islands holding structure, the company pursues a 'MIS' strategy (Mergers &amp; Acquisitions, Integration, and Spin-offs). Market cap approximately $40 million.</w:t>
      </w:r>
    </w:p>
    <w:p>
      <w:r>
        <w:rPr>
          <w:rFonts w:ascii="Calibri" w:hAnsi="Calibri"/>
          <w:b/>
          <w:color w:val="6E8450"/>
          <w:sz w:val="18"/>
        </w:rPr>
        <w:t>56 Employees · https://www.reitar.io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collapsed 71.4% in H1 FY2026 to HK$55.5M, turning a HK$24.3M prior-period profit into a HK$42.9M net loss [1]. TTM revenue has fallen to $30.77M with losses of $7.25M, demonstrating severe business contraction rather than innovation [1][3]. AI Deployment (1/2): The Smart Fulfillment Center partnership with NEXX in Qatar features 50 sorting robots processing 2,400 items/hour, 26 Autonomous Mobile Robots, and an Agentic AI management system — genuine AI deployment for customer logistics [2]. However, no measurable revenue or efficiency gains have been quantified from these deployments. Market Share (0/2): Micro-cap company (~$40M market cap) with negligible market share in both Hong Kong construction management and global logistics technology, operating in highly fragmented, competitive markets [3]. Product Pipeline (1/2): The $150M Qatar Smart Logistics Hub with NEXX and the initiated spin-off of the logistics automation unit show pipeline activity, though execution risk is extreme for a 56-person company with collapsing core revenue [2]. R&amp;D Intensity (0/1): No disclosed R&amp;D spending; primarily a services company with insufficient scale for meaningful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Reitar describes itself as Asia's first 'Property-Logistics Technology solutions platform' leveraging 'assets as its foundation and technology empowerment' — corporate jargon that reads as financial engineering strategy, not an inspiring purpose [3]. The 'MIS' strategy (M&amp;A, Integration, Spin-offs) is a capital allocation playbook, not a mission. Community Impact (0/2): No evidence of charitable giving, community programs, or social investment beyond normal business operations. Employee Retention (0/2): No employee retention data available; the company's ~56-person workforce provides no publicly available culture metrics, tenure data, or turnover information [3]. Insider Buying (0/2): No evidence of meaningful insider buying. The Cayman Islands corporate structure and securities class action investigation by Rosen Law Firm raise serious governance concerns about leadership alignment with minority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average daily volume of approximately 800,000 shares and stock price of ~$0.88, daily dollar volume is approximately $704,000 — well below the $1,000,000 liquidity floor [1][3]. Infrastructure score is automatically set to 0. Underlying fundamentals are also deeply distressed: TTM revenue of $30.77M with a net loss of $7.25M, profit margin of -23.6%, negative ROE, and revenue declining 71.4% in the most recent half-year period [1]. The low D/E ratio of 25% is the sole positive metric, but the company's collapsing revenue trajectory and micro-cap status make the stock untradeable at IOWN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Reitar Logtech is a textbook finite player. The company's articulated strategy — 'MIS' (Mergers &amp; Acquisitions, Integration, and Spin-offs) — is financial engineering, not a Just Cause. There is no vision of a future state worth sacrificing for, no evidence of courageous long-term leadership, and no data on organizational trust or culture. The spin-off of the logistics automation unit shows some strategic flexibility, but Sinek would view this as a company optimizing for deal-making outcomes, not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Reitar has no articulated Just Cause. The 'MIS strategy' — Mergers &amp; Acquisitions, Integration, and Spin-offs — is a financial engineering playbook, not a vision of a better future [3]. The company describes itself as a 'PLT solutions platform' but this is a capability statement, not a purpose. There is no evidence that employees or stakeholders rally around a shared cause. Sinek would classify this as a company that exists to execute deals.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is available for this ~56-person micro-cap company [3]. The Cayman Islands corporate structure, complex ownership arrangements, and securities class action investigation suggest potential governance concerns that would undermine organizational trust. No evidence of employee empowerment, psychological safety, or cultural practices that create a 'Circle of Safety.' The dramatic financial distress likely creates a fear-driven rather than trust-based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language focuses on deal-making, partnerships, and market positioning rather than learning from rivals [2]. Reitar operates in fragmented markets without articulating how competitors' strengths — whether from larger construction firms like Dematic or KION Group in logistics automation — inform its own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initiated spin-off of the logistics automation unit and strategic pivot from pure construction management toward AI-driven logistics technology demonstrate willingness to evolve the business model [2]. The NEXX partnership for the Qatar Smart Logistics Hub represents geographic and capability expansion beyond Hong Kong. However, these moves appear partially driven by financial distress rather than a purposeful strategic pivot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by leadership. The company's financial trajectory — 71.4% revenue decline in H1 FY2026 — suggests reactive management rather than proactive long-term investment [1]. CEO John Chan's ambitious partnership announcements (NEXX, Optimize Integration Group) create a gap between promises and the company's capacity to deliver as a 56-person firm with collapsing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Reitar Logtech's logistics technology initiatives — including the $150M Qatar Smart Fulfillment Center with NEXX featuring Agentic AI, Autonomous Mobile Robots, and sorting robotics — represent early-stage potential in the growing automated logistics market [2]. Revenue grew 50% to HK$378M in FY2025, the D/E ratio of 25% indicates a conservative balance sheet, and the planned spin-off of the logistics automation unit could unlock value in a higher-growth business segment [1][3].</w:t>
      </w:r>
    </w:p>
    <w:p>
      <w:pPr>
        <w:spacing w:after="120"/>
      </w:pPr>
      <w:r>
        <w:rPr>
          <w:rFonts w:ascii="Calibri" w:hAnsi="Calibri"/>
          <w:b w:val="0"/>
          <w:color w:val="3A4A28"/>
          <w:sz w:val="20"/>
        </w:rPr>
        <w:t>The bear case is overwhelming. Revenue collapsed 71.4% in H1 FY2026, turning a profit into a HK$42.9M loss [1]. The stock has declined 86% over the past 52 weeks, market cap is approximately $40M, and daily dollar volume (~$704K) fails the IOWN liquidity floor, making the stock untradeable at institutional scale [3]. The Cayman Islands corporate structure creates governance opacity, a securities class action investigation has been initiated by Rosen Law Firm, and the company's 'MIS' financial engineering strategy provides no operational moat [3]. The 56-person workforce lacks the scale to execute on ambitious global logistics technology partnerships. This is a speculative micro-cap with existential risk — IOWN cannot responsibly deploy capital here.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$150M Qatar Smart Logistics Hub with NEXX, potentially validating the AI-driven logistics technology platform and generating recurring revenue from Agentic AI systems [2]</w:t>
      </w:r>
    </w:p>
    <w:p>
      <w:pPr>
        <w:spacing w:before="40" w:after="40"/>
        <w:ind w:left="283"/>
      </w:pPr>
      <w:r>
        <w:rPr>
          <w:rFonts w:ascii="Calibri" w:hAnsi="Calibri"/>
          <w:b/>
          <w:color w:val="4A6B25"/>
          <w:sz w:val="20"/>
        </w:rPr>
        <w:t xml:space="preserve">2. </w:t>
      </w:r>
      <w:r>
        <w:rPr>
          <w:rFonts w:ascii="Calibri" w:hAnsi="Calibri"/>
          <w:b w:val="0"/>
          <w:color w:val="3A4A28"/>
          <w:sz w:val="20"/>
        </w:rPr>
        <w:t>Completion of the logistics automation unit spin-off, potentially attracting technology-focused investors and unlocking value in the higher-growth segment [2]</w:t>
      </w:r>
    </w:p>
    <w:p>
      <w:pPr>
        <w:spacing w:before="40" w:after="40"/>
        <w:ind w:left="283"/>
      </w:pPr>
      <w:r>
        <w:rPr>
          <w:rFonts w:ascii="Calibri" w:hAnsi="Calibri"/>
          <w:b/>
          <w:color w:val="4A6B25"/>
          <w:sz w:val="20"/>
        </w:rPr>
        <w:t xml:space="preserve">3. </w:t>
      </w:r>
      <w:r>
        <w:rPr>
          <w:rFonts w:ascii="Calibri" w:hAnsi="Calibri"/>
          <w:b w:val="0"/>
          <w:color w:val="3A4A28"/>
          <w:sz w:val="20"/>
        </w:rPr>
        <w:t>Stabilization of core construction management revenue in H2 FY2026 after the 71.4% collapse, demonstrating the business is not in terminal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($40M) with daily dollar volume of ~$704K failing the IOWN liquidity floor — the stock is effectively untradeable at institutional scale and at risk of continued devaluation or delisting [3]</w:t>
      </w:r>
    </w:p>
    <w:p>
      <w:pPr>
        <w:spacing w:before="40" w:after="40"/>
        <w:ind w:left="283"/>
      </w:pPr>
      <w:r>
        <w:rPr>
          <w:rFonts w:ascii="Calibri" w:hAnsi="Calibri"/>
          <w:b/>
          <w:color w:val="4A6B25"/>
          <w:sz w:val="20"/>
        </w:rPr>
        <w:t xml:space="preserve">2. </w:t>
      </w:r>
      <w:r>
        <w:rPr>
          <w:rFonts w:ascii="Calibri" w:hAnsi="Calibri"/>
          <w:b w:val="0"/>
          <w:color w:val="3A4A28"/>
          <w:sz w:val="20"/>
        </w:rPr>
        <w:t>Revenue collapsed 71.4% in H1 FY2026 with no visibility on recovery — the core construction management business in Hong Kong faces structural headwinds from the property market downturn [1]</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investigation by Rosen Law Firm, complex Cayman Islands corporate structure, and lack of direct ownership expose minority shareholders to significant governance and legal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Reitar's core construction management and engineering design services involve physical-world operations — building cold storage facilities, automated warehouses, and logistics infrastructure requires human labor, engineering expertise, and on-site execution that AI cannot fully replace [3]. However, AI-driven building information modeling, automated project management tools, cost estimation algorithms, and robotic construction technologies could gradually erode the value of Reitar's human-capital-dependent service model. The company's micro-cap scale provides no structural moat against larger competitors adopting AI tools more effectively. AI Opportunity (1/1): The Qatar Smart Fulfillment Center with Agentic AI management system, 50 sorting robots, and 26 AMRs demonstrates active deployment of AI-powered logistics solutions for customers, generating early-stage AI-related revenue through the logistics technology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RITR Financial Data, Revenue, and TTM Earnings,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Reitar Logtech — NEXX Strategic Partnership for $150M Qatar Smart Logistics Hub, Agentic AI Deployment, and Logistics Automation Spin-Off Announcements, 2025</w:t>
      </w:r>
    </w:p>
    <w:p>
      <w:pPr>
        <w:spacing w:before="20" w:after="20"/>
        <w:ind w:left="170"/>
      </w:pPr>
      <w:r>
        <w:rPr>
          <w:rFonts w:ascii="Calibri" w:hAnsi="Calibri"/>
          <w:b/>
          <w:color w:val="4A6B25"/>
          <w:sz w:val="15"/>
        </w:rPr>
        <w:t xml:space="preserve">3. </w:t>
      </w:r>
      <w:r>
        <w:rPr>
          <w:rFonts w:ascii="Calibri" w:hAnsi="Calibri"/>
          <w:b w:val="0"/>
          <w:color w:val="3A4A28"/>
          <w:sz w:val="17"/>
        </w:rPr>
        <w:t>SimplyWallSt / Nasdaq — RITR Fundamental Analysis, Market Cap, Insider Trading, Securities Class Action Investigation,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Reitar Logtech H1 FY2026 Form 6-K Filing, Revenue Decline and Net Loss Report,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