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ROP</w:t>
      </w:r>
      <w:r>
        <w:rPr>
          <w:rFonts w:ascii="Calibri" w:hAnsi="Calibri"/>
          <w:b/>
          <w:color w:val="1A2010"/>
          <w:sz w:val="40"/>
        </w:rPr>
        <w:t xml:space="preserve">  Roper Technologies, Inc.</w:t>
      </w:r>
    </w:p>
    <w:p>
      <w:pPr>
        <w:spacing w:after="120"/>
      </w:pPr>
      <w:r>
        <w:rPr>
          <w:rFonts w:ascii="Calibri" w:hAnsi="Calibri"/>
          <w:b/>
          <w:color w:val="6E8450"/>
          <w:sz w:val="18"/>
        </w:rPr>
        <w:t>GROWTH SLEEVE · 2026-07-26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Roper Technologies is a diversified vertical software compounder operating through three segments: Application Software (Vertafore, Deltek, Frontline Education, CentralReach), Network Software (SaaS data and analytics), and Technology Enabled Products (water meters, medical devices, RF technology). The company follows a disciplined acquisition-driven model, deploying $2.6B annual free cash flow into high-quality, asset-light vertical software businesses with deep customer entrenchment. Under CEO Neil Hunn, Roper completed its transformation from industrial conglomerate to software-centric technology company.</w:t>
      </w:r>
    </w:p>
    <w:p>
      <w:r>
        <w:rPr>
          <w:rFonts w:ascii="Calibri" w:hAnsi="Calibri"/>
          <w:b/>
          <w:color w:val="6E8450"/>
          <w:sz w:val="18"/>
        </w:rPr>
        <w:t>19,400 Employees · https://www.ropertech.com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Roper successfully transformed from an industrial conglomerate (pumps, valves, industrial equipment) to a software-centric technology company, divesting all legacy industrial businesses including the founding pump operations, and acquiring vertical software leaders including Vertafore, Deltek, Frontline Education, and Subsplash [1][3]. Q2 2026 revenue of $2.11B (+9% YoY, 5% organic, 3% acquisitions) with 39.3% EBITDA margins demonstrates sustained execution of this transformation [1]. AI Deployment (2/2): Roper hired dedicated AI leadership (Luke and Raffaele) in November 2025, established enterprise-wide AI vendor agreements across its portfolio, and evaluates every M&amp;A target through an 'AI-first mindset' [2]. CEO Hunn stated 'AI represents a significant opportunity to strengthen the value our businesses deliver to their customers and drive higher levels of long-term growth for Roper.' Portfolio companies across Vertafore, Deltek, CentralReach, and PowerPlan are deploying AI-enhanced SaaS features to customers [2]. Market Share (1/2): Roper holds leading positions in niche vertical software markets — insurance (Vertafore), government contracting (Deltek), K-12 education (Frontline), faith-based organizations (Subsplash) — where proprietary data and workflow integration create high switching costs. Not dominant in any single large market but deeply entrenched in each niche [3]. Pipeline (1/2): Robust M&amp;A pipeline with $2.6B annual FCF for deployment and strong SaaS adoption across portfolio. However, specific organic product launches are not the Roper model — growth is primarily acquisition-driven [1]. R&amp;D Intensity (1/1): Gross margins of 69.4% reflect high software content with significant embedded R&amp;D across portfolio companies, well above industry average for the industrial/technology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Roper's purpose centers on building a portfolio of market-leading vertical software businesses that serve specific industries and become essential infrastructure for their customers. The purpose is clear and specific but is fundamentally about capital allocation excellence and value compounding rather than a deeper vision of a better future [3]. Community Impact (1/2): Roper employs 19,400 people across diverse verticals, including Subsplash (church management software serving faith-based organizations), demonstrating portfolio alignment with community-serving industries. The company committed to SBTi science-based emission reduction targets and published its third ESG report in 2024 including Scope 3 emissions for the first time [3]. Employee Retention (1/2): The decentralized operating model allows portfolio company leaders to run their businesses autonomously, which cultivates ownership mentality and retention. CEO Neil Hunn was promoted from within (joined 2011, COO 2017, CEO 2018), reflecting internal trust and leadership continuity. The management team has deep institutional experience [2][3]. Insider Buying (0/2): The $5.2B total share repurchase program ($2.2B completed plus $3.0B authorized) signals strong corporate-level confidence, but these are capital allocation decisions, not personal insider purchases. No evidence of specific open-market buying by Hunn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Roper's financial profile is outstanding for a software-centric acquirer. Q2 2026 delivered $2.11B revenue (+9% YoY), adjusted EPS of $5.38 beating consensus by 1.7%, and raised full-year guidance to $22.15-$22.30 DEPS [1]. TTM revenue of $8.28B with 30.2% profit margin, 39.3% EBITDA margin, and $2.62B free cash flow demonstrates world-class profitability [1][4]. D/E of 61% is conservative and within the 70% target. Forward P/E of 15.6x is attractively valued for 9%+ revenue growth with best-in-class margins. PEG of 1.44 scores well against the 1.0 target (score: 0.78). The primary weakness is ROE of 13.1% — below the 15% target — suppressed by a goodwill-heavy balance sheet from serial acquisitions [4]. Revenue growth of ~9% (5% organic + acquisitions) falls slightly below the 10% target. All metrics score above zero, producing 9/10 through consistently above-average performance across the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Roper Technologies demonstrates strong infinite game qualities through its patient, long-term capital allocation model and multi-decade track record of compounding value through disciplined acquisition. The transformation from Roper Industries (industrial conglomerate) to Roper Technologies (vertical software compounder) under CEO Neil Hunn represents textbook existential flexibility. However, Roper's purpose is fundamentally about capital allocation and value compounding rather than a transcendent Just Cause, which limits its score at the ceiling of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Roper's cause — building and nurturing market-leading vertical software businesses that become essential infrastructure for their industries — is genuine and has been validated by decades of consistent execution [3]. The transformation from Roper Industries (industrial conglomerate) to Roper Technologies (software compounder) demonstrates strategic clarity and consistency. The recent Subsplash acquisition (church management software) shows the portfolio strategy extends to faith-serving organizations. However, the cause is about capital allocation excellence rather than a vision of a better future that people sacrifice to advance. Sinek would note the cause is excellent strategy but not yet a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Roper's decentralized operating model explicitly trusts portfolio company leaders to run their businesses autonomously, with corporate providing capital allocation direction and strategic AI infrastructure rather than operational micromanagement [2][3]. CEO Hunn's promotion from within (joined 2011, COO 2017, CEO 2018) reflects internal trust and succession planning. The 19,400-employee organization maintains stability across diverse verticals. The former CEO Brian Jellison's 'process culture' continues to shape operational discipline. One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Roper's competitive framing is explicitly about improving its own capital allocation process and portfolio capabilities rather than defeating competitors [2]. The AI strategy — hiring dedicated leadership, establishing enterprise agreements, applying 'AI-first mindset' to M&amp;A evaluation — reflects a company using competitive dynamics (AI disruption risk) as motivation to strengthen its own portfolio rather than attacking rivals. CEO Hunn's commentary frames AI as 'a significant opportunity to strengthen value' rather than a competitive weapon. One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Roper's transformation from Roper Industries (pumps, valves, industrial equipment) to Roper Technologies (vertical software compounder) is a textbook example of existential flexibility [3]. The company divested every industrial business — including the founding pump operations that gave the company its name — to focus entirely on asset-light, high-margin vertical software. This was not a desperate pivot but a strategic vision executed over a decade, driven by the recognition that software businesses generate superior returns on invested capital. Two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legacy industrial businesses including the company's namesake pump operations — profitable, established revenue streams — and pivot entirely to software required genuine courage and long-term conviction [3]. The $5.2B total share repurchase program signals management confidence in the long-term value creation model. CEO Hunn has maintained disciplined acquisition criteria even when facing pressure to deploy $2.6B annual FCF more aggressively, rejecting overpriced targets rather than pursuing growth at any cost [1]. One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Roper Technologies is a best-in-class vertical software compounder delivering Q2 2026 revenue of $2.11B (+9% YoY), adjusted EPS of $5.38 (beating consensus by 1.7%), and raised full-year guidance to $22.15-$22.30 DEPS [1]. At 15.6x forward P/E with 30.2% profit margins, 39.3% EBITDA margins, $2.62B TTM free cash flow, and a PEG of 1.44, the stock is attractively valued for a company with 69.4% gross margins and a proven acquisition-driven growth model [4]. The $5.2B total buyback program and robust M&amp;A pipeline provide multiple capital deployment levers. Portfolio companies are deeply embedded in customer workflows (insurance, healthcare, education, government contracting, faith-based organizations via Subsplash) with proprietary data creating high switching costs and durable recurring revenue [3]. The AI strategy (hub-and-spoke model, dedicated leadership, AI-first M&amp;A evaluation) positions Roper to enhance rather than be disrupted by AI [2]. The Inspire Impact Score of 65 (ALIGNED) with 19 positive attributions and zero negatives makes this one of the strongest faith-aligned investment opportunities in the screening universe.</w:t>
      </w:r>
    </w:p>
    <w:p>
      <w:pPr>
        <w:spacing w:after="120"/>
      </w:pPr>
      <w:r>
        <w:rPr>
          <w:rFonts w:ascii="Calibri" w:hAnsi="Calibri"/>
          <w:b w:val="0"/>
          <w:color w:val="3A4A28"/>
          <w:sz w:val="20"/>
        </w:rPr>
        <w:t>The bear case focuses on acquisition integration risk and organic growth limitations. Organic revenue growth of 5% in Q2 2026 — while 3 percentage points came from acquisitions — reveals that Roper's 9% headline growth is significantly acquisition-dependent, creating M&amp;A execution risk as the primary vulnerability [1]. The enterprise value of $47.3B includes ~$11B in net debt from acquisition financing, and rising amortization of acquired assets is compressing reported margins. ROE of 13.1% is suppressed by a goodwill-heavy balance sheet, meaning returns on invested capital may be lower than headline profitability suggests [4]. The Technology Enabled Products segment faces headwinds from water meter technology softness and foreign exchange impact. Revenue growth of ~9% falls below the 10% target, and the diversified vertical software model creates a growth ceiling around 9-10% absent larger acquisitions that carry integration risk. AI disruption risk exists across data analytics, financial software, and estimating businesses in the portfolio, though management is actively mitigating this [2]. At $36.3B market cap, the stock requires sustained M&amp;A execution and organic growth to justify its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DEPS guidance to $22.15-$22.30 with revenue growth north of 8%, supported by strong SaaS adoption across Vertafore, Deltek, CentralReach, and PowerPlan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portfolio through hub-and-spoke model, dedicated AI leadership, and AI-first M&amp;A evaluation could accelerate organic growth and expand margins in vertical software businesses [2]</w:t>
      </w:r>
    </w:p>
    <w:p>
      <w:pPr>
        <w:spacing w:before="40" w:after="40"/>
        <w:ind w:left="283"/>
      </w:pPr>
      <w:r>
        <w:rPr>
          <w:rFonts w:ascii="Calibri" w:hAnsi="Calibri"/>
          <w:b/>
          <w:color w:val="4A6B25"/>
          <w:sz w:val="20"/>
        </w:rPr>
        <w:t xml:space="preserve">3. </w:t>
      </w:r>
      <w:r>
        <w:rPr>
          <w:rFonts w:ascii="Calibri" w:hAnsi="Calibri"/>
          <w:b w:val="0"/>
          <w:color w:val="3A4A28"/>
          <w:sz w:val="20"/>
        </w:rPr>
        <w:t>M&amp;A pipeline targeting high-quality vertical software businesses with $2.62B annual FCF for deployment, plus Subsplash (faith-based organization software) contributing recurring revenue and mission alignment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5% versus 9% total growth reveals significant acquisition dependence — M&amp;A execution risk is the company's primary vulnerability and any integration disappointment would directly impact earnings trajectory [1]</w:t>
      </w:r>
    </w:p>
    <w:p>
      <w:pPr>
        <w:spacing w:before="40" w:after="40"/>
        <w:ind w:left="283"/>
      </w:pPr>
      <w:r>
        <w:rPr>
          <w:rFonts w:ascii="Calibri" w:hAnsi="Calibri"/>
          <w:b/>
          <w:color w:val="4A6B25"/>
          <w:sz w:val="20"/>
        </w:rPr>
        <w:t xml:space="preserve">2. </w:t>
      </w:r>
      <w:r>
        <w:rPr>
          <w:rFonts w:ascii="Calibri" w:hAnsi="Calibri"/>
          <w:b w:val="0"/>
          <w:color w:val="3A4A28"/>
          <w:sz w:val="20"/>
        </w:rPr>
        <w:t>ROE of 13.1% below the 15% target, suppressed by goodwill-heavy balance sheet from serial acquisitions — enterprise value of $47.3B includes ~$11B net debt from acquisition financing [4]</w:t>
      </w:r>
    </w:p>
    <w:p>
      <w:pPr>
        <w:spacing w:before="40" w:after="40"/>
        <w:ind w:left="283"/>
      </w:pPr>
      <w:r>
        <w:rPr>
          <w:rFonts w:ascii="Calibri" w:hAnsi="Calibri"/>
          <w:b/>
          <w:color w:val="4A6B25"/>
          <w:sz w:val="20"/>
        </w:rPr>
        <w:t xml:space="preserve">3. </w:t>
      </w:r>
      <w:r>
        <w:rPr>
          <w:rFonts w:ascii="Calibri" w:hAnsi="Calibri"/>
          <w:b w:val="0"/>
          <w:color w:val="3A4A28"/>
          <w:sz w:val="20"/>
        </w:rPr>
        <w:t>Technology Enabled Products segment headwinds from water meter softness and FX impact, plus AI disruption risk across data analytics and financial software portfolio companies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Roper's vertical software businesses are protected by proprietary data, deep workflow integration, high switching costs, and regulatory requirements that create meaningful barriers against AI disruption [2][3]. Insurance software (Vertafore) is embedded in carrier-agent workflows, education software (Frontline) manages mandated HR/payroll functions, and healthcare tools serve regulated compliance needs. However, some portfolio companies face real AI exposure: data analytics products could be partially automated, financial estimating tools could face AI competition, and the Technology Enabled Products segment (water meters, RF technology) lacks software moats. Management has proactively addressed AI by appointing dedicated leadership, establishing enterprise-wide AI vendor agreements, and applying an 'AI-first mindset' to M&amp;A evaluation — turning AI from a threat into a portfolio enhancement strategy [2]. AI Opportunity (1/1): Portfolio companies are deploying AI-enhanced SaaS features across insurance, healthcare, education, and government contracting verticals. The hub-and-spoke AI model centralizes strategy while enabling portfolio-specific deployment, generating AI-associated revenue through enhanced software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Roper Technologies Q2 2026 Earnings — $2.11B revenue (+9%), adjusted EPS $5.38, raised FY2026 DEPS guidance $22.15-$22.30, July 23, 2026</w:t>
      </w:r>
    </w:p>
    <w:p>
      <w:pPr>
        <w:spacing w:before="20" w:after="20"/>
        <w:ind w:left="170"/>
      </w:pPr>
      <w:r>
        <w:rPr>
          <w:rFonts w:ascii="Calibri" w:hAnsi="Calibri"/>
          <w:b/>
          <w:color w:val="4A6B25"/>
          <w:sz w:val="15"/>
        </w:rPr>
        <w:t xml:space="preserve">2. </w:t>
      </w:r>
      <w:r>
        <w:rPr>
          <w:rFonts w:ascii="Calibri" w:hAnsi="Calibri"/>
          <w:b w:val="0"/>
          <w:color w:val="3A4A28"/>
          <w:sz w:val="17"/>
        </w:rPr>
        <w:t>Roper Technologies AI Leadership Appointments — Hub-and-spoke model, dedicated AI team, AI-first M&amp;A evaluation, GlobeNewswire, November 2025</w:t>
      </w:r>
    </w:p>
    <w:p>
      <w:pPr>
        <w:spacing w:before="20" w:after="20"/>
        <w:ind w:left="170"/>
      </w:pPr>
      <w:r>
        <w:rPr>
          <w:rFonts w:ascii="Calibri" w:hAnsi="Calibri"/>
          <w:b/>
          <w:color w:val="4A6B25"/>
          <w:sz w:val="15"/>
        </w:rPr>
        <w:t xml:space="preserve">3. </w:t>
      </w:r>
      <w:r>
        <w:rPr>
          <w:rFonts w:ascii="Calibri" w:hAnsi="Calibri"/>
          <w:b w:val="0"/>
          <w:color w:val="3A4A28"/>
          <w:sz w:val="17"/>
        </w:rPr>
        <w:t>Roper Technologies Corporate Profile and ESG — Industrial-to-software transformation, 19,400 employees, SBTi commitment, Subsplash acquisition, RoperTech.com,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ROP Key Statistics: $367.34 price, 15.6x forward P/E, 30.2% profit margin, 13.1% ROE, $2.62B FCF,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