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RSG</w:t>
      </w:r>
      <w:r>
        <w:rPr>
          <w:rFonts w:ascii="Calibri" w:hAnsi="Calibri"/>
          <w:b/>
          <w:color w:val="1A2010"/>
          <w:sz w:val="40"/>
        </w:rPr>
        <w:t xml:space="preserve">  Republic Services, Inc.</w:t>
      </w:r>
    </w:p>
    <w:p>
      <w:pPr>
        <w:spacing w:after="120"/>
      </w:pPr>
      <w:r>
        <w:rPr>
          <w:rFonts w:ascii="Calibri" w:hAnsi="Calibri"/>
          <w:b/>
          <w:color w:val="6E8450"/>
          <w:sz w:val="18"/>
        </w:rPr>
        <w:t>GROWTH SLEEVE · 2026-07-29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Republic Services is the second-largest environmental services company in the United States and Canada, providing collection, transfer, disposal, recycling, and environmental solutions to residential, commercial, and industrial customers. The company operates landfills, recycling centers, transfer stations, and polymer processing facilities across North America. Named to Ethisphere's World's Most Ethical Companies list eight times and Fortune's Most Admired Companies five times.</w:t>
      </w:r>
    </w:p>
    <w:p>
      <w:r>
        <w:rPr>
          <w:rFonts w:ascii="Calibri" w:hAnsi="Calibri"/>
          <w:b/>
          <w:color w:val="6E8450"/>
          <w:sz w:val="18"/>
        </w:rPr>
        <w:t>42,000 Employees · https://www.republicservices.com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Full-year 2025 revenue grew 3.5% with adjusted EBITDA up nearly 7% and margin expanding 90 basis points to 32%, demonstrating consistent operational improvement [1]. Q1 2026 revenue of $4.113B with net income of $525M continues the trend [2]. The company has evolved from pure waste hauling to an environmental solutions platform, though growth remains incremental rather than transformative. AI Deployment (1/2): Republic Services has deployed AI across operations through route optimization (MPower fleet platform), AI-driven recycling sorting at Polymer Centers, and customer service automation, with an in-house data science team building proprietary solutions [3]. However, no specific dollar amounts for AI-driven savings or revenue have been publicly quantified. Market Share (2/2): Republic is the #2 U.S. waste management company with ~$16.6B in annual revenue, strong local route density creating physical moats, and dominant regional positions across North America [1][2]. Product Pipeline (1/2): Polymer Center expansion for advanced plastics recycling and 2026 revenue guidance of ~3% growth driven by 3.2-3.7% average yield, though volume declines of ~1% temper the growth narrative [1]. R&amp;D Intensity (0/1): Waste management is inherently a low-R&amp;D industry; RSG invests in operational technology but does not report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Republic Services' mission to 'partner with customers to create a more sustainable world' is specific, thoughtful, and validated by execution — the company achieved its SBTi-approved emissions reduction target early, set 2030 goals for 35% Scope 1/2 reduction, 40% materials recovery increase, and 50% biogas beneficial reuse increase [4][5]. Named to Ethisphere's World's Most Ethical Companies eight times and Fortune's Most Admired five times, demonstrating the mission shapes corporate behavior. Community Impact (1/2): Ethisphere recognition eight times and early achievement of emissions reduction targets demonstrate genuine environmental stewardship beyond profit, though no specific dollar amounts for community programs or foundation activities were identified [4][5]. Employee Retention (0/2): Glassdoor reviews reveal mixed sentiment — some praise strong core values while others cite leadership advancement driven by popularity over competence, contributing to turnover and limited job stability [3]. No standout retention metrics or tenure data available. Insider Buying (0/2): No evidence of meaningful net insider buying by executives in the last 12 months. The 22 consecutive years of dividend increases signal capital allocation alignment but are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financial metrics. D/E of 115% scores 0.80 (moderate leverage typical for capital-intensive waste operations supported by $16.6B recurring revenue). ROE of 18.3% scores 1.0, reflecting strong capital efficiency [2]. Revenue growth YoY of 3.5% scores 0.78 — steady but unspectacular organic growth driven by pricing exceeding cost inflation [1]. Revenue growth 5yr CAGR of approximately 9.5% (from ~$10.2B in 2020 to ~$16.0B in 2025) scores 0.97, reflecting both organic pricing power and strategic acquisitions. Forward P/E of 28.59 scores 0.79, a premium justified by recession-resistant cash flows. Profit margin of 12.89% scores 0.64, adequate but constrained by the asset-heavy collection and disposal model. Forward PEG of 3.47 scores 0.0, reflecting the premium valuation relative to single-digit organic growth. Weighted infrastructure score of 7/10 with 10 total weight units (Growth stock weighting). Liquidity floor easily cleared: 1.36M avg volume x $200.83 = $273M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Republic Services operates with a long-term orientation appropriate for managing 20-30 year landfill assets and setting 2030 sustainability targets. The SBTi-approved emissions reduction commitment, Polymer Center innovation, and 22 consecutive years of dividend increases reflect infinite game characteristics. However, the comfortable duopoly with Waste Management, modest organic growth of 2-4%, and reliance on pricing pass-throughs over genuine business transformation limit the boldness of the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'Creating a more sustainable world through responsible environmental services' is a genuine, enduring purpose validated by SBTi-approved emissions targets (achieved early), 2030 sustainability goals (35% Scope 1/2 reduction, 40% materials recovery, 50% biogas increase), and Polymer Center investment in circular economy technology [4][5]. Ethisphere recognition eight times demonstrates the mission shapes corporate behavior. However, the cause has not been tested through transformative crisis or multi-decade consistency beyond environmental metrics — the company has not sacrificed profitable but misaligned business lines in service of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Jon Vander Ark's McKinsey-trained leadership style emphasizes strategic rigor and inclusive workforce culture across 42,000 employees [3]. The company's consistent operational execution and 22-year dividend growth streak suggest organizational stability. However, Glassdoor reviews (~3.3/5) reveal mixed sentiments — some cite popularity-driven promotions and limited career stability, indicating trust varies across frontline and corporate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Waste Management (WM) is the clear worthy rival, and Republic Services uses this rivalry productively — matching WM's sustainability commitments, competing on service quality and route density, and investing in AI and recycling technology to close the scale gap [1]. The duopoly dynamic forces both companies to improve continuously rather than engage in destructive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Republic Services has evolved from a pure waste hauler to an environmental solutions company, investing in Polymer Centers for advanced plastics recycling, landfill gas-to-energy, and digital transformation of fleet operations [3][5]. The pivot toward circular economy capabilities shows willingness to transform. However, the core collection business remains dominant and the transformation is incremental — the company has not abandoned a profitable business line or made a bet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Achieving SBTi-approved emissions targets early and investing in Polymer Center technology for advanced plastics recycling demonstrate willingness to invest ahead of regulatory requirements [4][5]. The commitment to AI-driven operational transformation through a dedicated GenAI Governance Council shows proactive leadership. However, in a comfortable duopoly with pricing power exceeding cost inflation, these investments carry relatively low risk and do not represent the kind of courageous, costly bets that define infinite game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Republic Services is a high-quality defensive industrial with predictable cash flows, pricing power, and a physical moat from local route density in waste collection [1]. Full-year 2025 revenue grew 3.5% with adjusted EBITDA expanding 90 basis points to a 32% margin, and Q1 2026 delivered $4.113B revenue with $525M net income [1][2]. The 22 consecutive years of dividend increases (8.3% 5yr CAGR) and 35.8% payout ratio demonstrate sustainable capital returns. ROE of 18.3% and SBTi-approved sustainability targets provide both financial quality and ESG alignment, while AI deployment through MPower fleet optimization and Polymer Centers enhances margins without creating disruption risk [3][5]. Inspire score of 43 (ALIGNED) with 13 positive attributions and zero negative confirms faith-based suitability.</w:t>
      </w:r>
    </w:p>
    <w:p>
      <w:pPr>
        <w:spacing w:after="120"/>
      </w:pPr>
      <w:r>
        <w:rPr>
          <w:rFonts w:ascii="Calibri" w:hAnsi="Calibri"/>
          <w:b w:val="0"/>
          <w:color w:val="3A4A28"/>
          <w:sz w:val="20"/>
        </w:rPr>
        <w:t>The bear case centers on valuation and growth limitations. At 28.6x forward P/E and 3.47 PEG ratio, RSG is priced for perfection in a business growing revenue only 3.5% organically with ~1% volume declines — essentially inflation pass-through with no real volume growth [1]. The 1.23% dividend yield falls below the 2% threshold for IOWN Dividend classification despite the impressive 22-year growth streak. D/E of 115% reflects $13.8B in debt required to maintain fleet, landfills, and processing facilities, creating interest rate sensitivity in a higher-rate environment. Revenue guidance for 2026 of 3.2-3.7% yield with ~1% volume decline implies minimal acceleration. The waste management duopoly faces potential regulatory disruption from changing environmental standards, and the premium valuation leaves minimal margin of safety if economic conditions weaken and waste volumes decline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EBITDA margin expansion toward 33%+ driven by pricing exceeding cost inflation, AI-powered route optimization via MPower, and operating leverage on the existing asset base [1][3]</w:t>
      </w:r>
    </w:p>
    <w:p>
      <w:pPr>
        <w:spacing w:before="40" w:after="40"/>
        <w:ind w:left="283"/>
      </w:pPr>
      <w:r>
        <w:rPr>
          <w:rFonts w:ascii="Calibri" w:hAnsi="Calibri"/>
          <w:b/>
          <w:color w:val="4A6B25"/>
          <w:sz w:val="20"/>
        </w:rPr>
        <w:t xml:space="preserve">2. </w:t>
      </w:r>
      <w:r>
        <w:rPr>
          <w:rFonts w:ascii="Calibri" w:hAnsi="Calibri"/>
          <w:b w:val="0"/>
          <w:color w:val="3A4A28"/>
          <w:sz w:val="20"/>
        </w:rPr>
        <w:t>Polymer Center expansion for advanced plastics recycling positions RSG for circular economy regulatory tailwinds and new revenue streams as recycled content mandates increase [3][5]</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pipeline in environmental solutions and recycling driving inorganic growth and route density improvements beyond the 3-4% organic ceiling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(28.6x forward P/E, 3.47 PEG) leaves limited margin of safety for a business growing revenue only 3.5% organically with ~1% volume declines — any guidance miss could trigger significant multiple compression [1]</w:t>
      </w:r>
    </w:p>
    <w:p>
      <w:pPr>
        <w:spacing w:before="40" w:after="40"/>
        <w:ind w:left="283"/>
      </w:pPr>
      <w:r>
        <w:rPr>
          <w:rFonts w:ascii="Calibri" w:hAnsi="Calibri"/>
          <w:b/>
          <w:color w:val="4A6B25"/>
          <w:sz w:val="20"/>
        </w:rPr>
        <w:t xml:space="preserve">2. </w:t>
      </w:r>
      <w:r>
        <w:rPr>
          <w:rFonts w:ascii="Calibri" w:hAnsi="Calibri"/>
          <w:b w:val="0"/>
          <w:color w:val="3A4A28"/>
          <w:sz w:val="20"/>
        </w:rPr>
        <w:t>Capital-intensive operations require $13.8B in debt with net cash position of -$13.7B, and sustained higher interest rates could pressure free cash flow conversion and acquisition-driven growth [2]</w:t>
      </w:r>
    </w:p>
    <w:p>
      <w:pPr>
        <w:spacing w:before="40" w:after="40"/>
        <w:ind w:left="283"/>
      </w:pPr>
      <w:r>
        <w:rPr>
          <w:rFonts w:ascii="Calibri" w:hAnsi="Calibri"/>
          <w:b/>
          <w:color w:val="4A6B25"/>
          <w:sz w:val="20"/>
        </w:rPr>
        <w:t xml:space="preserve">3. </w:t>
      </w:r>
      <w:r>
        <w:rPr>
          <w:rFonts w:ascii="Calibri" w:hAnsi="Calibri"/>
          <w:b w:val="0"/>
          <w:color w:val="3A4A28"/>
          <w:sz w:val="20"/>
        </w:rPr>
        <w:t>Organic growth limited to yield/pricing with declining volumes suggests the business is not growing in real terms beyond inflation pass-through, which the premium valuation does not adequately reflect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Waste collection and environmental services are inherently physical, labor-intensive operations that AI cannot disintermediate — trucks must pick up trash, landfills must be operated, and recycling facilities require physical processing [1]. Republic's local route density creates a physical moat no AI competitor can replicate digitally. Regulatory barriers (permits, environmental compliance) add further protection. However, AI could partially automate recycling sorting (reducing human sorters), optimize routes to require fewer trucks and drivers, and enable new entrants to operate more efficiently, preventing an IMMUNE classification. Analysts see no AI substitution risk for the core collection business. AI Opportunity (1/1): AI-driven recycling sorting at Polymer Centers, MPower fleet route optimization reducing fuel costs, and predictive maintenance for fleet and landfill operations represent meaningful, quantifiable margin expansion opportunities that leverage AI as a competitive advantage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Republic Services Q4 2025 and Full-Year 2025 Earnings Release — 3.5% revenue growth, adjusted EBITDA margin of 32%,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Republic Services Q1 2026 Quarterly Report (10-Q) — $4.113B revenue, $525M net income, April 2026</w:t>
      </w:r>
    </w:p>
    <w:p>
      <w:pPr>
        <w:spacing w:before="20" w:after="20"/>
        <w:ind w:left="170"/>
      </w:pPr>
      <w:r>
        <w:rPr>
          <w:rFonts w:ascii="Calibri" w:hAnsi="Calibri"/>
          <w:b/>
          <w:color w:val="4A6B25"/>
          <w:sz w:val="15"/>
        </w:rPr>
        <w:t xml:space="preserve">3. </w:t>
      </w:r>
      <w:r>
        <w:rPr>
          <w:rFonts w:ascii="Calibri" w:hAnsi="Calibri"/>
          <w:b w:val="0"/>
          <w:color w:val="3A4A28"/>
          <w:sz w:val="17"/>
        </w:rPr>
        <w:t>Klover.ai — Republic Services AI Strategy Analysis; Glassdoor Reviews — Leadership and Culture Assessment, 2026</w:t>
      </w:r>
    </w:p>
    <w:p>
      <w:pPr>
        <w:spacing w:before="20" w:after="20"/>
        <w:ind w:left="170"/>
      </w:pPr>
      <w:r>
        <w:rPr>
          <w:rFonts w:ascii="Calibri" w:hAnsi="Calibri"/>
          <w:b/>
          <w:color w:val="4A6B25"/>
          <w:sz w:val="15"/>
        </w:rPr>
        <w:t xml:space="preserve">4. </w:t>
      </w:r>
      <w:r>
        <w:rPr>
          <w:rFonts w:ascii="Calibri" w:hAnsi="Calibri"/>
          <w:b w:val="0"/>
          <w:color w:val="3A4A28"/>
          <w:sz w:val="17"/>
        </w:rPr>
        <w:t>Ethisphere — World's Most Ethical Companies 2026 List (8th appearance); Fortune — Most Admired Companies 2026 (5th appearance)</w:t>
      </w:r>
    </w:p>
    <w:p>
      <w:pPr>
        <w:spacing w:before="20" w:after="20"/>
        <w:ind w:left="170"/>
      </w:pPr>
      <w:r>
        <w:rPr>
          <w:rFonts w:ascii="Calibri" w:hAnsi="Calibri"/>
          <w:b/>
          <w:color w:val="4A6B25"/>
          <w:sz w:val="15"/>
        </w:rPr>
        <w:t xml:space="preserve">5. </w:t>
      </w:r>
      <w:r>
        <w:rPr>
          <w:rFonts w:ascii="Calibri" w:hAnsi="Calibri"/>
          <w:b w:val="0"/>
          <w:color w:val="3A4A28"/>
          <w:sz w:val="17"/>
        </w:rPr>
        <w:t>Republic Services Sustainability Reporting — SBTi-approved emissions targets achieved early, 2030 sustainability goals,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