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RYAM</w:t>
      </w:r>
      <w:r>
        <w:rPr>
          <w:rFonts w:ascii="Calibri" w:hAnsi="Calibri"/>
          <w:b/>
          <w:color w:val="1A2010"/>
          <w:sz w:val="40"/>
        </w:rPr>
        <w:t xml:space="preserve">  Rayonier Advanced Materials Inc.</w:t>
      </w:r>
    </w:p>
    <w:p>
      <w:pPr>
        <w:spacing w:after="120"/>
      </w:pPr>
      <w:r>
        <w:rPr>
          <w:rFonts w:ascii="Calibri" w:hAnsi="Calibri"/>
          <w:b/>
          <w:color w:val="6E8450"/>
          <w:sz w:val="18"/>
        </w:rPr>
        <w:t>GROWTH SLEEVE · 2026-08-08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Cellulose · NYSE · United States</w:t>
      </w:r>
    </w:p>
    <w:p>
      <w:pPr>
        <w:spacing w:after="80"/>
      </w:pPr>
      <w:r>
        <w:rPr>
          <w:rFonts w:ascii="Calibri" w:hAnsi="Calibri"/>
          <w:b w:val="0"/>
          <w:color w:val="3A4A28"/>
          <w:sz w:val="20"/>
        </w:rPr>
        <w:t>Rayonier Advanced Materials is a global manufacturer of cellulose-based products, including high-purity cellulose specialties used in pharmaceuticals, food additives, and industrial applications, as well as commodity viscose and high-yield pulp. Operates manufacturing plants in Florida, Georgia, and Canada. The company is the leading global supplier of high-purity cellulose specialties natural polymers. Market cap ~$525M. Currently exploring strategic alternatives after seven consecutive years of net losses.</w:t>
      </w:r>
    </w:p>
    <w:p>
      <w:r>
        <w:rPr>
          <w:rFonts w:ascii="Calibri" w:hAnsi="Calibri"/>
          <w:b/>
          <w:color w:val="6E8450"/>
          <w:sz w:val="18"/>
        </w:rPr>
        <w:t>2,500 Employees · https://www.ryam.com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new products, market pivots, or business model transformations in the last five years. RYAM remains focused on the same cellulose specialties and commodity pulp business lines it has operated for years, with revenue essentially flat over the five-year period ($1.41B in 2021 to $1.43B TTM) [1][2]. Seven consecutive years of net losses indicate the business model is not generating value. AI Deployment (0/2): No evidence of AI-powered products or AI-driven operational efficiencies. RYAM is a traditional cellulose manufacturing operation [2]. Market Share (1/2): RYAM is described as the 'leading global supplier of high-purity cellulose specialties natural polymers for the chemical industry,' holding a niche leadership position in a specialized market — producing customized high-purity performance fibers for pharmaceutical, food, and industrial applications [2]. Product Pipeline (0/2): No next-generation products or new revenue streams announced. The company's focus is on operational stabilization and strategic alternatives, not product innovation [3]. R&amp;D Intensity (0/1): No R&amp;D spending data publicly available. The company's resources are directed toward operational restructuring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RYAM positions itself as 'a global leader of cellulose-based technologies' that engineers 'natural polymeric chemical chains to create customized high-purity performance fibers' [2]. This is a business description rather than a mission — it states what the company does but not why it exists or what future state it is working toward. Interchangeable with any specialty materials manufacturer. Community Impact (0/2): No evidence of charitable programs, community investment, or distinctive social impact beyond standard corporate operations [4]. Employee Retention (0/2): No publicly available data on employee tenure, turnover, or organizational culture. CEO turnover (Scott Sutton resigned April 2026, Daniel Krawczyk appointed June 2026) signals leadership instability [2][3]. Insider Buying (0/2): No evidence of insider buying. The strategic alternatives review and leadership transition suggest uncertainty rather than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RYAM's financial profile reflects deep distress — Q1 2026 net loss of $81M ($1.22/share) was 156% worse than the prior-year quarter, with gross profit turning negative at ($8M) and operating loss of ($65M) [1]. TTM profit margin of -32.8% and ROE of -100.5% indicate the company is destroying capital at an alarming rate [5]. D/E of 317% reflects $763M in total debt against minimal equity, with net debt of $695M overwhelming the $525M market cap [5]. The only positive signals are the forward P/E of 27.55 (implying market expectation of earnings normalization, likely driven by strategic alternatives speculation) and modest 5-year revenue stability. After seven consecutive years of net losses, the company engaged Morgan Stanley to explore a sale, merger, or restructuring in April 2026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RYAM is the archetype of a finite game player — a company in survival mode after seven consecutive years of losses, now exploring strategic alternatives including a potential sale. The CEO resigned in April 2026 and was replaced within two months, with the new CEO explicitly tasked to 'evaluate strategic alternatives while focusing on delivering positive free cash flow.' There is no Just Cause, no courageous leadership pattern, and no organizational trust built on shared purpose. The company exists to extract remaining value,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articulated vision of a future state beyond the company's commercial operations. RYAM describes itself in purely functional terms — 'a global leader of cellulose-based technologies' [2]. After seven years of losses and with the company now exploring a sale, there is no evidence of a purpose that inspires sacrifice or extends beyond financial survival. Sinek would identify this as a company playing to survive this quarter, not to keep playing.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turnover in 2026 (Sutton resignation, Krawczyk appointment) creates organizational instability [2][3]. The strategic alternatives review — which could result in the company being sold, merged, or restructured — introduces existential uncertainty for employees. No evidence of strong cultural practices, employee empowerment, or retention strength. A company exploring its own sale is fundamentally at odds with the psychological safety that Sinek describes as the foundation of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RYAM operates in a niche cellulose market with limited competitive dynamics. The company's focus is on internal survival rather than external competitive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alternatives review, while born of necessity rather than vision, does demonstrate willingness to fundamentally change the company's ownership structure, operating model, or identity [3]. The company is open to 'a sale of all or part of the Company, a strategic investment, a merger or other business combination' — acknowledging that the current standalone model has failed. However, Sinek would distinguish between flexibility driven by a Just Cause (proactive reinvention in service of purpose) and flexibility driven by desperation (selling because you can't make money). This is clearly the latter.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investments or principled stands that cost money. Former CEO Scott Sutton resigned in April 2026 after presiding over continued losses [2][3]. New CEO Daniel Krawczyk's stated priorities — 'delivering positive free cash flow' and 'evaluating strategic alternatives' — are survival objectives, not courageous bets on the future. The company's inability to achieve profitability over seven years suggests a pattern of insufficient strategic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RYAM holds a niche leadership position as the world's leading supplier of high-purity cellulose specialties — natural polymers used in pharmaceuticals, food, and industrial applications [2]. The strategic alternatives review initiated in April 2026 with Morgan Stanley as financial advisor creates a potential catalyst for value realization — at $525M market cap vs. $1.22B enterprise value, a buyer acquiring RYAM's niche cellulose franchise at a premium to current levels could deliver meaningful returns [3]. The cellulose specialties business serves end markets (pharmaceuticals, food) with relatively stable demand characteristics, and the plant-based product portfolio aligns with sustainability trends favoring natural over petroleum-derived alternatives.</w:t>
      </w:r>
    </w:p>
    <w:p>
      <w:pPr>
        <w:spacing w:after="120"/>
      </w:pPr>
      <w:r>
        <w:rPr>
          <w:rFonts w:ascii="Calibri" w:hAnsi="Calibri"/>
          <w:b w:val="0"/>
          <w:color w:val="3A4A28"/>
          <w:sz w:val="20"/>
        </w:rPr>
        <w:t>The bear case is overwhelming. Seven consecutive years of net losses — including a Q1 2026 net loss of $81M ($1.22/share) that widened 156% year-over-year — demonstrate a fundamentally broken business model [1]. Gross profit turned negative in Q1 2026, meaning the company cannot cover manufacturing costs with revenue, let alone service its $763M debt burden ($695M net debt, representing 1.3x the market cap) [1][5]. Revenue of $319M in Q1 declined 10.4% YoY, and TTM revenue of $1.43B is flat versus 2021, suggesting zero organic growth over five years. ROE of -100.5% and profit margin of -32.8% place RYAM among the worst-performing public companies in the materials sector. CEO resignation, leadership transition, and strategic alternatives review signal that the current standalone strategy has failed. The most likely outcome is a sale at distressed valuations, a restructuring that dilutes equity holders, or continued value destruction.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alternatives review with Morgan Stanley could result in a sale to a strategic buyer at a premium to the current deeply depressed stock price</w:t>
      </w:r>
    </w:p>
    <w:p>
      <w:pPr>
        <w:spacing w:before="40" w:after="40"/>
        <w:ind w:left="283"/>
      </w:pPr>
      <w:r>
        <w:rPr>
          <w:rFonts w:ascii="Calibri" w:hAnsi="Calibri"/>
          <w:b/>
          <w:color w:val="4A6B25"/>
          <w:sz w:val="20"/>
        </w:rPr>
        <w:t xml:space="preserve">2. </w:t>
      </w:r>
      <w:r>
        <w:rPr>
          <w:rFonts w:ascii="Calibri" w:hAnsi="Calibri"/>
          <w:b w:val="0"/>
          <w:color w:val="3A4A28"/>
          <w:sz w:val="20"/>
        </w:rPr>
        <w:t>New CEO Daniel Krawczyk's focus on positive free cash flow generation could stabilize the near-term financial trajectory and restore basic operational viability</w:t>
      </w:r>
    </w:p>
    <w:p>
      <w:pPr>
        <w:spacing w:before="40" w:after="40"/>
        <w:ind w:left="283"/>
      </w:pPr>
      <w:r>
        <w:rPr>
          <w:rFonts w:ascii="Calibri" w:hAnsi="Calibri"/>
          <w:b/>
          <w:color w:val="4A6B25"/>
          <w:sz w:val="20"/>
        </w:rPr>
        <w:t xml:space="preserve">3. </w:t>
      </w:r>
      <w:r>
        <w:rPr>
          <w:rFonts w:ascii="Calibri" w:hAnsi="Calibri"/>
          <w:b w:val="0"/>
          <w:color w:val="3A4A28"/>
          <w:sz w:val="20"/>
        </w:rPr>
        <w:t>Cellulose specialties niche leadership position and plant-based product portfolio create potential takeout value for a larger specialty chemicals acquirer seeking sustainable materials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Seven consecutive years of net losses with Q1 2026 gross profit turning negative — the company may not achieve viability as a standalone entity and strategic alternatives may result in equity dilution or wipeout</w:t>
      </w:r>
    </w:p>
    <w:p>
      <w:pPr>
        <w:spacing w:before="40" w:after="40"/>
        <w:ind w:left="283"/>
      </w:pPr>
      <w:r>
        <w:rPr>
          <w:rFonts w:ascii="Calibri" w:hAnsi="Calibri"/>
          <w:b/>
          <w:color w:val="4A6B25"/>
          <w:sz w:val="20"/>
        </w:rPr>
        <w:t xml:space="preserve">2. </w:t>
      </w:r>
      <w:r>
        <w:rPr>
          <w:rFonts w:ascii="Calibri" w:hAnsi="Calibri"/>
          <w:b w:val="0"/>
          <w:color w:val="3A4A28"/>
          <w:sz w:val="20"/>
        </w:rPr>
        <w:t>Net debt of $695M exceeds the $525M market cap, creating existential balance sheet risk if the strategic alternatives process fails to yield a transaction at acceptable terms</w:t>
      </w:r>
    </w:p>
    <w:p>
      <w:pPr>
        <w:spacing w:before="40" w:after="40"/>
        <w:ind w:left="283"/>
      </w:pPr>
      <w:r>
        <w:rPr>
          <w:rFonts w:ascii="Calibri" w:hAnsi="Calibri"/>
          <w:b/>
          <w:color w:val="4A6B25"/>
          <w:sz w:val="20"/>
        </w:rPr>
        <w:t xml:space="preserve">3. </w:t>
      </w:r>
      <w:r>
        <w:rPr>
          <w:rFonts w:ascii="Calibri" w:hAnsi="Calibri"/>
          <w:b w:val="0"/>
          <w:color w:val="3A4A28"/>
          <w:sz w:val="20"/>
        </w:rPr>
        <w:t>Revenue declining 10.4% YoY in Q1 2026 with flat 5-year CAGR suggests structural demand issues in the commodity cellulose business, with high-cost manufacturing unable to compete on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RYAM's core business — manufacturing physical cellulose products from wood pulp through chemical and mechanical processes — is structurally protected from AI disruption [2]. High-purity cellulose specialties used in pharmaceutical excipients, food additives, and industrial chemicals require physical production capabilities, specialized manufacturing equipment, and regulatory compliance that AI cannot replicate. The end products are tangible materials that cannot be digitized or substituted by software. However, unlike AI infrastructure plays that benefit from AI buildout, RYAM's products do not see increased demand from AI advancement — cellulose serves traditional industrial applications with no AI-driven demand uplift. AI Opportunity (0/1): No evidence of AI-generated revenue. RYAM has not disclosed any AI-powered products, digital offerings, or AI-driven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Rayonier Advanced Materials Q1 2026 Earnings Results — QuiverQuant, MarketBeat,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Rayonier Advanced Materials Leadership, CEO Appointment, Business Overview — Packaging Gateway, TheOrg, Fortune, June 2026</w:t>
      </w:r>
    </w:p>
    <w:p>
      <w:pPr>
        <w:spacing w:before="20" w:after="20"/>
        <w:ind w:left="170"/>
      </w:pPr>
      <w:r>
        <w:rPr>
          <w:rFonts w:ascii="Calibri" w:hAnsi="Calibri"/>
          <w:b/>
          <w:color w:val="4A6B25"/>
          <w:sz w:val="15"/>
        </w:rPr>
        <w:t xml:space="preserve">3. </w:t>
      </w:r>
      <w:r>
        <w:rPr>
          <w:rFonts w:ascii="Calibri" w:hAnsi="Calibri"/>
          <w:b w:val="0"/>
          <w:color w:val="3A4A28"/>
          <w:sz w:val="17"/>
        </w:rPr>
        <w:t>Rayonier Advanced Materials Strategic Alternatives Review — BusinessWire, StreetInsider, TipRanks, April 2026</w:t>
      </w:r>
    </w:p>
    <w:p>
      <w:pPr>
        <w:spacing w:before="20" w:after="20"/>
        <w:ind w:left="170"/>
      </w:pPr>
      <w:r>
        <w:rPr>
          <w:rFonts w:ascii="Calibri" w:hAnsi="Calibri"/>
          <w:b/>
          <w:color w:val="4A6B25"/>
          <w:sz w:val="15"/>
        </w:rPr>
        <w:t xml:space="preserve">4. </w:t>
      </w:r>
      <w:r>
        <w:rPr>
          <w:rFonts w:ascii="Calibri" w:hAnsi="Calibri"/>
          <w:b w:val="0"/>
          <w:color w:val="3A4A28"/>
          <w:sz w:val="17"/>
        </w:rPr>
        <w:t>Rayonier Advanced Materials ESG and Sustainability — Sustainalytics, CSRHub, ResponsibilityReports,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Rayonier Advanced Materials Financial Statistics — StockAnalysis.com, Yahoo Finance, GuruFocus,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