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SAFX</w:t>
      </w:r>
      <w:r>
        <w:rPr>
          <w:rFonts w:ascii="Calibri" w:hAnsi="Calibri"/>
          <w:b/>
          <w:color w:val="1A2010"/>
          <w:sz w:val="40"/>
        </w:rPr>
        <w:t xml:space="preserve">  XCF Global, Inc.</w:t>
      </w:r>
    </w:p>
    <w:p>
      <w:pPr>
        <w:spacing w:after="120"/>
      </w:pPr>
      <w:r>
        <w:rPr>
          <w:rFonts w:ascii="Calibri" w:hAnsi="Calibri"/>
          <w:b/>
          <w:color w:val="6E8450"/>
          <w:sz w:val="18"/>
        </w:rPr>
        <w:t>GROWTH SLEEVE · 2026-08-12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Renewable Fuels · NASDAQ · United States</w:t>
      </w:r>
    </w:p>
    <w:p>
      <w:pPr>
        <w:spacing w:after="80"/>
      </w:pPr>
      <w:r>
        <w:rPr>
          <w:rFonts w:ascii="Calibri" w:hAnsi="Calibri"/>
          <w:b w:val="0"/>
          <w:color w:val="3A4A28"/>
          <w:sz w:val="20"/>
        </w:rPr>
        <w:t>XCF Global, Inc. manufactures and sells renewable fuels in the United States, developing and operating clean fuel production facilities to produce sustainable aviation fuel (SAF), renewable diesel, and renewable naphtha. Its flagship asset is New Rise Renewables Reno, a facility with 38 million gallon per year permitted nameplate capacity in Nevada. Following a facility upgrade and restart, the plant is now producing renewable fuels at approximately 40 degrees lower process temperatures. The company signed a Joint Commercialization and Development Agreement in June 2026 with Continual Renewable Ventures for a proposed New Rise ANZ facility in Australia targeting 175 million liters per year [1]. CEO Chris Cooper, formerly President of Neste U.S., was appointed Chairman in May 2026. The company targets 2027 net revenue of $110-120M, EBITDA of $65-70M from 40-43 million gallons production [1]. Stock trades at $0.36, received a Nasdaq noncompliance notice in December 2025 for trading below $1.00.</w:t>
      </w:r>
    </w:p>
    <w:p>
      <w:r>
        <w:rPr>
          <w:rFonts w:ascii="Calibri" w:hAnsi="Calibri"/>
          <w:b/>
          <w:color w:val="6E8450"/>
          <w:sz w:val="18"/>
        </w:rPr>
        <w:t>53 Employees · https://xcf.global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XCF Global completed its facility upgrade and restart at the New Rise Renewables Reno plant, achieving process temperatures approximately 40 degrees lower than prior operations, and began producing renewable fuels with initial fuel sales [1]. This represents a modest but real operational milestone for an early-stage company, though the prior post-commissioning shutdown undermines execution credibility. AI Deployment (0/2): No evidence of AI-powered products or AI-driven operational savings; operations use conventional refinery process controls adapted for renewable feedstocks. Market Share (0/2): XCF is a marginal participant in the SAF market dominated by Neste, World Energy, and major oil companies pivoting to renewables. Total production to date is negligible relative to U.S. jet fuel consumption. Product Pipeline (1/2): The June 2026 JDA with Continual Renewable Ventures for New Rise ANZ in Australia (175M liters/year capacity) and specific 2027 targets of $110-120M net revenue and 40-43M gallons production provide some pipeline visibility [1]. However, Australia remains in early development. R&amp;D Intensity (0/1): No evidence of R&amp;D spending above industry average; company focus is operational execution rather than novel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XCF Global's purpose of 'accelerating the aviation industry's transition to net-zero emissions' through domestic SAF production is clear, socially relevant, and connects energy security with climate action [2]. CEO Cooper articulated this at ABLC2026 as building domestic SAF that is 'reliable, repeatable, and ready now.' The mission is genuine but has not been validated through sustained multi-year execution. Community &amp; Charitable Impact (0/2): No charitable programs, community investment, or foundation activity identified beyond core commercial operations. The 53-employee company is entirely focused on production restart and capital management. Employee Retention (0/2): Rapid C-suite turnover — CEO replaced November 2025, CFO removed April 2026, Chief Accounting Officer resigned April 2026 — signals deep organizational instability inconsistent with a mission-driven culture [2]. Insider Buying (0/2): No evidence of meaningful net insider buying by CEO Chris Cooper or other executives. The prior $16.7M payables-to-equity conversion was debt restructuring, not voluntary purchasing reflecting positive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XCF Global's reported TTM financial metrics are severely distorted by non-recurring gains — the company reported $74M in profits on only $20.82M in revenue, producing nonsensical TTM margins and ROE figures that do not reflect operating reality [3]. Forward consensus projects EPS of approximately -$0.19 for FY2026, confirming the business is not yet profitable on an operating basis. D/E of 678% far exceeds the 300% scoring floor, scoring 0.0 on the only reliable metric. The Altman-Z score of -0.80 signals material bankruptcy risk, and the current ratio of 0.11 indicates severe liquidity constraints [3]. With all other reliable metrics either unavailable or confirming financial distress, Infrastructure scores 0 based on available data. Liquidity floor passes: $0.36 x 15.85M avg daily volume = $5.7M &gt; $1M threshold.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XCF Global articulates a genuine purpose around decarbonizing aviation through domestic SAF production, and CEO Cooper brings credible industry experience from Neste U.S. However, the company's operational reality — facility restart challenges, TTM losses, D/E of 678%, Nasdaq noncompliance notice, and three C-suite departures in 12 months — reflects survival-mode decision-making rather than purpose-driven infinite game play. Just Cause earns 2 points for genuine purpose; Courage earns 1 point for taking the helm in distress; Trusting Teams, Existential Flexibility, and Worthy Rivals each score 0 given organizational instability and insufficient evidence.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XCF's mission — making sustainable aviation fuel reliable and available from domestic waste-based feedstocks — is genuine, differentiating, and shapes strategic decisions [2]. CEO Cooper positioned domestic SAF as both a decarbonization solution and national energy security priority. The cause is inclusive, service-oriented, and idealistic. However, with minimal operating history and an operational failure already recorded, this cause has not been validated through sustained multi-cycle execution — the standard for 3 points requires decades of consistent strategic decisions tracing back to the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Three senior leadership departures in 12 months — CEO, CFO, and Chief Accounting Officer — signal deep organizational instability [2]. With only 53 employees navigating financial distress, debt restructuring, and facility restart simultaneously, this company cannot credibly claim the Circle of Safety that Sinek identifies as foundational. No employee tenure, retention, or cultural practice data was available to offset these red flags.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public evidence of XCF Global referencing SAF competitors — Neste, World Energy, TotalEnergies, or LanzaJet — as worthy rivals whose strengths drive self-improvement. CEO Cooper's hiring from Neste implicitly acknowledges established players have capabilities XCF must develop, but this is talent acquisition, not the competitive mindset Sinek describes.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XCF Global is too young and financially constrained to have faced a meaningful strategic pivot decision. The company has one business model (renewable fuel production) and no history of transformative reinvention. The Australia JDA and proposed merger with DevvStream/Southern Energy represent geographic and corporate expansion, not existential flexibility in service of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Cooper joined during severe financial and operational stress — accepting leadership of a near-delisting company with active lender disputes and a shutdown facility reflects willingness to lead under adversity [2]. Pursuing operational restart rather than conceding the asset, and converting $16.7M in payables to equity, represents betting on the mission over immediate survival optics. However, these decisions reflect necessity as much as principle — a pattern of Sinek-style courageous leadership has not yet had time to form.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XCF Global offers pure-play exposure to the secular SAF growth opportunity supported by ICAO CORSIA mandates, EU blending requirements, and U.S. energy security priorities. The Reno facility is operational with 38M gallon capacity, initial renewable diesel sales have commenced, and 2027 targets of $110-120M net revenue and $65-70M EBITDA represent transformative upside from the current $20.82M TTM revenue base [1]. The June 2026 Australia JDA adds international expansion optionality. CEO Cooper's background as President of Neste U.S. — the global SAF leader — provides genuine industry credibility [2].</w:t>
      </w:r>
    </w:p>
    <w:p>
      <w:pPr>
        <w:spacing w:after="120"/>
      </w:pPr>
      <w:r>
        <w:rPr>
          <w:rFonts w:ascii="Calibri" w:hAnsi="Calibri"/>
          <w:b w:val="0"/>
          <w:color w:val="3A4A28"/>
          <w:sz w:val="20"/>
        </w:rPr>
        <w:t>The bear case is overwhelming. D/E of 678% and Altman-Z of -0.80 indicate existential financial risk — the company converted $16.7M in payables to equity to avoid covenant breach, and Nasdaq issued a noncompliance notice for trading below $1.00 since December 2025 [3]. Three C-suite departures in 12 months raise execution credibility concerns for a 53-person company. Forward EPS consensus of -$0.19 for FY2026 confirms the business is not yet self-sustaining. The stock has collapsed from a 52-week high of $45.90 to $0.36, destroying over 99% of shareholder value. The 2027 targets require 5-6x revenue growth in approximately 18 months with no clear path to funding the operational ramp. The current ratio of 0.11 indicates severe near-term liquidity constraints [3]. SELL reflects present financial reality, not long-term market opportunity.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Reno facility production ramp to full 38M gallon capacity with positive operating margins on renewable diesel/SAF sales — the single most critical proof point that the core business model works at scale [1]</w:t>
      </w:r>
    </w:p>
    <w:p>
      <w:pPr>
        <w:spacing w:before="40" w:after="40"/>
        <w:ind w:left="283"/>
      </w:pPr>
      <w:r>
        <w:rPr>
          <w:rFonts w:ascii="Calibri" w:hAnsi="Calibri"/>
          <w:b/>
          <w:color w:val="4A6B25"/>
          <w:sz w:val="20"/>
        </w:rPr>
        <w:t xml:space="preserve">2. </w:t>
      </w:r>
      <w:r>
        <w:rPr>
          <w:rFonts w:ascii="Calibri" w:hAnsi="Calibri"/>
          <w:b w:val="0"/>
          <w:color w:val="3A4A28"/>
          <w:sz w:val="20"/>
        </w:rPr>
        <w:t>Progress on New Rise ANZ Australia JDA from development agreement to binding commitments and construction financing, demonstrating international replicability of the SAF production model [1]</w:t>
      </w:r>
    </w:p>
    <w:p>
      <w:pPr>
        <w:spacing w:before="40" w:after="40"/>
        <w:ind w:left="283"/>
      </w:pPr>
      <w:r>
        <w:rPr>
          <w:rFonts w:ascii="Calibri" w:hAnsi="Calibri"/>
          <w:b/>
          <w:color w:val="4A6B25"/>
          <w:sz w:val="20"/>
        </w:rPr>
        <w:t xml:space="preserve">3. </w:t>
      </w:r>
      <w:r>
        <w:rPr>
          <w:rFonts w:ascii="Calibri" w:hAnsi="Calibri"/>
          <w:b w:val="0"/>
          <w:color w:val="3A4A28"/>
          <w:sz w:val="20"/>
        </w:rPr>
        <w:t>Nasdaq compliance regained through either organic stock appreciation or reverse split, removing the delisting overhang that limits institutional ownership and creates forced-selling risk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financial risk with D/E of 678%, Altman-Z of -0.80, and current ratio of 0.11 — the company may not survive to achieve 2027 targets without severely dilutive capital raises that would destroy remaining equity value [3]</w:t>
      </w:r>
    </w:p>
    <w:p>
      <w:pPr>
        <w:spacing w:before="40" w:after="40"/>
        <w:ind w:left="283"/>
      </w:pPr>
      <w:r>
        <w:rPr>
          <w:rFonts w:ascii="Calibri" w:hAnsi="Calibri"/>
          <w:b/>
          <w:color w:val="4A6B25"/>
          <w:sz w:val="20"/>
        </w:rPr>
        <w:t xml:space="preserve">2. </w:t>
      </w:r>
      <w:r>
        <w:rPr>
          <w:rFonts w:ascii="Calibri" w:hAnsi="Calibri"/>
          <w:b w:val="0"/>
          <w:color w:val="3A4A28"/>
          <w:sz w:val="20"/>
        </w:rPr>
        <w:t>Nasdaq delisting risk from noncompliance with minimum bid price requirement since December 2025 — delisting would eliminate institutional investor access and trigger forced selling [3]</w:t>
      </w:r>
    </w:p>
    <w:p>
      <w:pPr>
        <w:spacing w:before="40" w:after="40"/>
        <w:ind w:left="283"/>
      </w:pPr>
      <w:r>
        <w:rPr>
          <w:rFonts w:ascii="Calibri" w:hAnsi="Calibri"/>
          <w:b/>
          <w:color w:val="4A6B25"/>
          <w:sz w:val="20"/>
        </w:rPr>
        <w:t xml:space="preserve">3. </w:t>
      </w:r>
      <w:r>
        <w:rPr>
          <w:rFonts w:ascii="Calibri" w:hAnsi="Calibri"/>
          <w:b w:val="0"/>
          <w:color w:val="3A4A28"/>
          <w:sz w:val="20"/>
        </w:rPr>
        <w:t>SAF/renewable diesel economics remain unproven at this facility — the 2027 targets of $110-120M net revenue represent an unprecedented growth rate for a company with only $20.82M TTM revenue and negative operating margins, and prior facility shutdowns raise reliability concerns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SAF and renewable diesel production is a physical-world manufacturing process — converting waste oils and fats into aviation fuel through the HEFA thermochemical pathway requires capital-intensive refinery infrastructure, feedstock procurement, and regulatory compliance (EPA, CARB) that AI cannot substitute [2]. Airlines require physical fuel molecules to fly; ICAO CORSIA mandates and EU blending requirements structurally support demand regardless of AI advancement. No analysts flag AI as a disruption risk for SAF producers; the primary risks are financial and operational, not technological [1]. However, XCF's small scale and thin competitive moats mean that AI-optimized processes at larger incumbents like Neste could widen the cost gap. AI Opportunity (0/1): No AI-generated revenue. The company does not deploy AI products or services, and refinery operations use conventional process controls.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XCF Global Q1 FY2026 Corporate and Operational Update — 2027 Targets: Net Revenue $110-120M, EBITDA $65-70M, 40-43M Gallons; Reno Facility Upgrade, Restart, Initial Fuel Sales; Australia JDA June 2026 — StockTitan, 2026</w:t>
      </w:r>
    </w:p>
    <w:p>
      <w:pPr>
        <w:spacing w:before="20" w:after="20"/>
        <w:ind w:left="170"/>
      </w:pPr>
      <w:r>
        <w:rPr>
          <w:rFonts w:ascii="Calibri" w:hAnsi="Calibri"/>
          <w:b/>
          <w:color w:val="4A6B25"/>
          <w:sz w:val="15"/>
        </w:rPr>
        <w:t xml:space="preserve">2. </w:t>
      </w:r>
      <w:r>
        <w:rPr>
          <w:rFonts w:ascii="Calibri" w:hAnsi="Calibri"/>
          <w:b w:val="0"/>
          <w:color w:val="3A4A28"/>
          <w:sz w:val="17"/>
        </w:rPr>
        <w:t>XCF Global CEO Chris Cooper Leadership, ABLC2026 Presentation, Board Chairman Appointment May 2026, C-Suite Departures — xcf.global, citybiz, Investing.com, 2025-2026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ChartMill.com, WallStreetZen — SAFX Key Statistics: D/E 678%, Altman-Z -0.80, Current Ratio 0.11, Stock Price $0.36, Avg Volume 15.85M, Nasdaq Noncompliance Dec 2025,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