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SBH</w:t>
      </w:r>
      <w:r>
        <w:rPr>
          <w:rFonts w:ascii="Calibri" w:hAnsi="Calibri"/>
          <w:b/>
          <w:color w:val="1A2010"/>
          <w:sz w:val="40"/>
        </w:rPr>
        <w:t xml:space="preserve">  Sally Beauty Holdings, Inc.</w:t>
      </w:r>
    </w:p>
    <w:p>
      <w:pPr>
        <w:spacing w:after="120"/>
      </w:pPr>
      <w:r>
        <w:rPr>
          <w:rFonts w:ascii="Calibri" w:hAnsi="Calibri"/>
          <w:b/>
          <w:color w:val="6E8450"/>
          <w:sz w:val="18"/>
        </w:rPr>
        <w:t>GROWTH SLEEVE · 2026-09-17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Sally Beauty Holdings, Inc. is a specialty retailer and distributor of professional beauty supplies, operating through the Sally Beauty Supply and Beauty Systems Group (BSG) segments. Founded in 1964 and headquartered in Plano, Texas, the company sells hair color and care, skin and nail care, and styling products under owned and licensed brands (Wella, L'Oreal, Clairol, OPI, Paul Mitchell, Matrix, Schwarzkopf, and others) through company-operated and franchised stores and e-commerce across the U.S. and ten additional countries. Under CEO Denise Paulonis, the company is now in its 60th year, focused on margin expansion through digital tools and supply-chain automation amid a mature, largely flat top-line environment.</w:t>
      </w:r>
    </w:p>
    <w:p>
      <w:r>
        <w:rPr>
          <w:rFonts w:ascii="Calibri" w:hAnsi="Calibri"/>
          <w:b/>
          <w:color w:val="6E8450"/>
          <w:sz w:val="18"/>
        </w:rPr>
        <w:t>11,000 Employees · https://www.sallybeautyholdings.com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Sally Beauty has held FY2025 revenue essentially flat ($3.70B, -0.42% YoY) while growing net income to $195.9 million from $153.4 million, an incremental margin-expansion story via store refreshes and cost discipline rather than a category-redefining pivot [1][2]. AI Deployment (1/2): The company has expanded AI-powered virtual try-on technology to stores and its app, and CEO Paulonis led the leadership team through a hands-on generative AI workshop building chat workflows, videos, and marketing content, evidencing genuine operational adoption [4][5]. Market Share (1/2): Sally Beauty holds a leading position in professional beauty distribution to both retail consumers and licensed salon professionals via its dual Sally/BSG segments, but faces structural share pressure from Amazon, mass retail, and DTC beauty brands in a largely flat category. Product Pipeline (1/2): The Blue Yonder partnership for planning and execution is aimed at increasing supply-chain visibility and responsiveness while managing costs, supporting margin (not top-line) trajectory [6]. R&amp;D Intensity (0/1): As a distributor/retailer rather than a product innovator, Sally Beauty shows limited evidence of meaningful R&amp;D investment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Sally Beauty's positioning as a leading professional beauty supply distributor to both consumers and licensed stylists is a clear, functional purpose but not deeply distinctive from category peers like Ulta or SalonCentric. Community Impact (1/2): The company operates the SBH Inspires Foundation, dedicated specifically to ending domestic violence and abuse and supporting survivors — a concrete, focused charitable cause, though no scale or impact metrics were disclosed in the research window [8]. Employee Retention (0/2): No specific employee tenure or retention data was identified; scattered social-media complaints referencing customer-service and racial-profiling incidents surfaced but do not constitute an organized controversy per Sustainalytics' 'low controversy level' and 'Average' ESG risk-management rating [7][8].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(no active dividend). Sally Beauty screens attractively on valuation and returns: PEG of 0.70 and forward P/E of 7.15 both clear their targets comfortably, ROE of 23.53% far exceeds the 15% target, and D/E of 173.89% is well inside the 300% floor [3][9]. The main drags are a near-flat revenue growth YoY of 0.2% and a roughly flat-to-slightly-negative 3-year revenue CAGR (2022-2025) of approximately -1.0%, both reflecting the mature, largely saturated specialty beauty retail category, plus a modest profit margin of 5.16% relative to the 20% target [1][9]. Liquidity clears the floor comfortably at roughly $22 million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Sally Beauty shows real evidence of adaptive leadership — an engaged, hands-on approach to AI experimentation and a dedicated charitable foundation — but lacks a deeply distinctive long-term cause, and its core business faces genuine competitive and category headwinds that leadership is managing rather than transforming.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Beyond the SBH Inspires Foundation's focus on domestic violence survivors, the company's core retail/distribution mission is not framed around a cause deeper than serving beauty product demand [8].</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Descriptions of the leadership team as one that 'shows up not just to discuss but build' and the company's recognition for gender diversity in beauty-industry leadership suggest a genuinely engaged and empowered leadership culture, though evidence does not extend clearly to frontline store associates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Sally Beauty operates against Ulta, Sephora, mass retailers (Walmart, Amazon), and professional distributor SalonCentric, and its margin-and-technology-focused response acknowledges this competitive reality rather than pursuing unsustainable price competition [1][6].</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Blue Yonder AI supply-chain partnership and expanded AI try-on technology represent real attempts to modernize a traditional specialty-retail model in the face of e-commerce and DTC disruption, rather than defending the status quo [4][6].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Paulonis personally leading the executive team through hands-on generative AI experimentation, rather than delegating the initiative, signals a willingness to model change from the top even as the core business faces flat growth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Sally Beauty is a mature specialty beauty retailer trading at a deep value multiple (forward P/E 7.15, PEG 0.70) with strong returns on capital (ROE 23.5%) and consistent margin expansion via store refreshes, digital tools, and the Blue Yonder AI-enabled supply-chain partnership, delivering FY2025 net income growth of 28% despite essentially flat revenue [1][2][6]. Management raised FY2026 guidance and beat Q1 EPS estimates by 4.35%, evidence that cost and margin discipline can continue to drive earnings growth even in a no-growth top-line environment [1].</w:t>
      </w:r>
    </w:p>
    <w:p>
      <w:pPr>
        <w:spacing w:after="120"/>
      </w:pPr>
      <w:r>
        <w:rPr>
          <w:rFonts w:ascii="Calibri" w:hAnsi="Calibri"/>
          <w:b w:val="0"/>
          <w:color w:val="3A4A28"/>
          <w:sz w:val="20"/>
        </w:rPr>
        <w:t>The structural concern is category maturity: revenue has been roughly flat-to-declining over the past several years (3-year CAGR approximately -1%), and the company faces genuine long-term share risk from AI-personalized e-commerce and DTC beauty brands. Inspiration evidence beyond the SBH Inspires Foundation is thin, and the stock's cheap valuation likely reflects the market pricing in limited structural growth rather than a mispriced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margin expansion (50bps gross margin gain in Q1 FY2026) from store refresh and digital initiatives sustaining EPS growth despite flat revenue</w:t>
      </w:r>
    </w:p>
    <w:p>
      <w:pPr>
        <w:spacing w:before="40" w:after="40"/>
        <w:ind w:left="283"/>
      </w:pPr>
      <w:r>
        <w:rPr>
          <w:rFonts w:ascii="Calibri" w:hAnsi="Calibri"/>
          <w:b/>
          <w:color w:val="4A6B25"/>
          <w:sz w:val="20"/>
        </w:rPr>
        <w:t xml:space="preserve">2. </w:t>
      </w:r>
      <w:r>
        <w:rPr>
          <w:rFonts w:ascii="Calibri" w:hAnsi="Calibri"/>
          <w:b w:val="0"/>
          <w:color w:val="3A4A28"/>
          <w:sz w:val="20"/>
        </w:rPr>
        <w:t>Blue Yonder AI-enabled supply chain partnership driving further cost efficiency and working capital improvement</w:t>
      </w:r>
    </w:p>
    <w:p>
      <w:pPr>
        <w:spacing w:before="40" w:after="40"/>
        <w:ind w:left="283"/>
      </w:pPr>
      <w:r>
        <w:rPr>
          <w:rFonts w:ascii="Calibri" w:hAnsi="Calibri"/>
          <w:b/>
          <w:color w:val="4A6B25"/>
          <w:sz w:val="20"/>
        </w:rPr>
        <w:t xml:space="preserve">3. </w:t>
      </w:r>
      <w:r>
        <w:rPr>
          <w:rFonts w:ascii="Calibri" w:hAnsi="Calibri"/>
          <w:b w:val="0"/>
          <w:color w:val="3A4A28"/>
          <w:sz w:val="20"/>
        </w:rPr>
        <w:t>Raised FY2026 guidance (comps flat to +1%) providing a credible floor for near-term estimates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Structurally flat-to-declining revenue (3-year CAGR approximately -1%) in a mature, highly competitive specialty retail category</w:t>
      </w:r>
    </w:p>
    <w:p>
      <w:pPr>
        <w:spacing w:before="40" w:after="40"/>
        <w:ind w:left="283"/>
      </w:pPr>
      <w:r>
        <w:rPr>
          <w:rFonts w:ascii="Calibri" w:hAnsi="Calibri"/>
          <w:b/>
          <w:color w:val="4A6B25"/>
          <w:sz w:val="20"/>
        </w:rPr>
        <w:t xml:space="preserve">2. </w:t>
      </w:r>
      <w:r>
        <w:rPr>
          <w:rFonts w:ascii="Calibri" w:hAnsi="Calibri"/>
          <w:b w:val="0"/>
          <w:color w:val="3A4A28"/>
          <w:sz w:val="20"/>
        </w:rPr>
        <w:t>Long-term AI-driven e-commerce personalization and DTC beauty brand disintermediation risk to the physical specialty retail model</w:t>
      </w:r>
    </w:p>
    <w:p>
      <w:pPr>
        <w:spacing w:before="40" w:after="40"/>
        <w:ind w:left="283"/>
      </w:pPr>
      <w:r>
        <w:rPr>
          <w:rFonts w:ascii="Calibri" w:hAnsi="Calibri"/>
          <w:b/>
          <w:color w:val="4A6B25"/>
          <w:sz w:val="20"/>
        </w:rPr>
        <w:t xml:space="preserve">3. </w:t>
      </w:r>
      <w:r>
        <w:rPr>
          <w:rFonts w:ascii="Calibri" w:hAnsi="Calibri"/>
          <w:b w:val="0"/>
          <w:color w:val="3A4A28"/>
          <w:sz w:val="20"/>
        </w:rPr>
        <w:t>Thin evidence of a distinctive long-term mission or community impact beyond the SBH Inspires Foundation, limiting the Inspiration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Sally Beauty's dual retail-plus-B2B-distribution model to salon professionals provides partial insulation from pure e-commerce disintermediation, but AI-personalized recommendation engines at Amazon and DTC beauty brands increasingly compress the value of physical specialty retail for the consumer-facing Sally Beauty Supply segment, a genuine structural headwind for a mature, largely flat-growth retailer [1][4]. AI Opportunity Tiebreaker (1/1): The company has concretely deployed AI-powered virtual try-on technology in stores and its app and partnered with Blue Yonder to apply AI-driven planning and execution to its supply chain, both measurable efficiency and experience levers already in production [4][6].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Sally Beauty Holdings (SBH) Is Up 5.3% After Strong Earnings and Raised Outlook for 2026,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Sally Beauty Holdings (SBH) Revenue 2015-2025, stockanalysis.com, 2026</w:t>
      </w:r>
    </w:p>
    <w:p>
      <w:pPr>
        <w:spacing w:before="20" w:after="20"/>
        <w:ind w:left="170"/>
      </w:pPr>
      <w:r>
        <w:rPr>
          <w:rFonts w:ascii="Calibri" w:hAnsi="Calibri"/>
          <w:b/>
          <w:color w:val="4A6B25"/>
          <w:sz w:val="15"/>
        </w:rPr>
        <w:t xml:space="preserve">3. </w:t>
      </w:r>
      <w:r>
        <w:rPr>
          <w:rFonts w:ascii="Calibri" w:hAnsi="Calibri"/>
          <w:b w:val="0"/>
          <w:color w:val="3A4A28"/>
          <w:sz w:val="17"/>
        </w:rPr>
        <w:t>Sally Beauty (SBH) Q2 2026 EPS Strength Supports Bullish Margin Expansion Narratives, Simply Wall St News, 2026</w:t>
      </w:r>
    </w:p>
    <w:p>
      <w:pPr>
        <w:spacing w:before="20" w:after="20"/>
        <w:ind w:left="170"/>
      </w:pPr>
      <w:r>
        <w:rPr>
          <w:rFonts w:ascii="Calibri" w:hAnsi="Calibri"/>
          <w:b/>
          <w:color w:val="4A6B25"/>
          <w:sz w:val="15"/>
        </w:rPr>
        <w:t xml:space="preserve">4. </w:t>
      </w:r>
      <w:r>
        <w:rPr>
          <w:rFonts w:ascii="Calibri" w:hAnsi="Calibri"/>
          <w:b w:val="0"/>
          <w:color w:val="3A4A28"/>
          <w:sz w:val="17"/>
        </w:rPr>
        <w:t>Sally Beauty CEO Denise Paulonis on Embracing Innovation, Women in Retail, 2026</w:t>
      </w:r>
    </w:p>
    <w:p>
      <w:pPr>
        <w:spacing w:before="20" w:after="20"/>
        <w:ind w:left="170"/>
      </w:pPr>
      <w:r>
        <w:rPr>
          <w:rFonts w:ascii="Calibri" w:hAnsi="Calibri"/>
          <w:b/>
          <w:color w:val="4A6B25"/>
          <w:sz w:val="15"/>
        </w:rPr>
        <w:t xml:space="preserve">5. </w:t>
      </w:r>
      <w:r>
        <w:rPr>
          <w:rFonts w:ascii="Calibri" w:hAnsi="Calibri"/>
          <w:b w:val="0"/>
          <w:color w:val="3A4A28"/>
          <w:sz w:val="17"/>
        </w:rPr>
        <w:t>Beauty Leaders: AI, Efficacy, and Disciplined Growth Will Define 2026, BeautyMatter, 2026</w:t>
      </w:r>
    </w:p>
    <w:p>
      <w:pPr>
        <w:spacing w:before="20" w:after="20"/>
        <w:ind w:left="170"/>
      </w:pPr>
      <w:r>
        <w:rPr>
          <w:rFonts w:ascii="Calibri" w:hAnsi="Calibri"/>
          <w:b/>
          <w:color w:val="4A6B25"/>
          <w:sz w:val="15"/>
        </w:rPr>
        <w:t xml:space="preserve">6. </w:t>
      </w:r>
      <w:r>
        <w:rPr>
          <w:rFonts w:ascii="Calibri" w:hAnsi="Calibri"/>
          <w:b w:val="0"/>
          <w:color w:val="3A4A28"/>
          <w:sz w:val="17"/>
        </w:rPr>
        <w:t>Sally Beauty faces the future with Blue Yonder, blueyonder.com, 2026</w:t>
      </w:r>
    </w:p>
    <w:p>
      <w:pPr>
        <w:spacing w:before="20" w:after="20"/>
        <w:ind w:left="170"/>
      </w:pPr>
      <w:r>
        <w:rPr>
          <w:rFonts w:ascii="Calibri" w:hAnsi="Calibri"/>
          <w:b/>
          <w:color w:val="4A6B25"/>
          <w:sz w:val="15"/>
        </w:rPr>
        <w:t xml:space="preserve">7. </w:t>
      </w:r>
      <w:r>
        <w:rPr>
          <w:rFonts w:ascii="Calibri" w:hAnsi="Calibri"/>
          <w:b w:val="0"/>
          <w:color w:val="3A4A28"/>
          <w:sz w:val="17"/>
        </w:rPr>
        <w:t>Sally Beauty Holdings, Inc. ESG Risk Rating, Sustainalytics, 2026</w:t>
      </w:r>
    </w:p>
    <w:p>
      <w:pPr>
        <w:spacing w:before="20" w:after="20"/>
        <w:ind w:left="170"/>
      </w:pPr>
      <w:r>
        <w:rPr>
          <w:rFonts w:ascii="Calibri" w:hAnsi="Calibri"/>
          <w:b/>
          <w:color w:val="4A6B25"/>
          <w:sz w:val="15"/>
        </w:rPr>
        <w:t xml:space="preserve">8. </w:t>
      </w:r>
      <w:r>
        <w:rPr>
          <w:rFonts w:ascii="Calibri" w:hAnsi="Calibri"/>
          <w:b w:val="0"/>
          <w:color w:val="3A4A28"/>
          <w:sz w:val="17"/>
        </w:rPr>
        <w:t>How ethical is Sally Beauty Holdings?, Ethical Consumer, 2026</w:t>
      </w:r>
    </w:p>
    <w:p>
      <w:pPr>
        <w:spacing w:before="20" w:after="20"/>
        <w:ind w:left="170"/>
      </w:pPr>
      <w:r>
        <w:rPr>
          <w:rFonts w:ascii="Calibri" w:hAnsi="Calibri"/>
          <w:b/>
          <w:color w:val="4A6B25"/>
          <w:sz w:val="15"/>
        </w:rPr>
        <w:t xml:space="preserve">9. </w:t>
      </w:r>
      <w:r>
        <w:rPr>
          <w:rFonts w:ascii="Calibri" w:hAnsi="Calibri"/>
          <w:b w:val="0"/>
          <w:color w:val="3A4A28"/>
          <w:sz w:val="17"/>
        </w:rPr>
        <w:t>yfinance — SBH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