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SCI</w:t>
      </w:r>
      <w:r>
        <w:rPr>
          <w:rFonts w:ascii="Calibri" w:hAnsi="Calibri"/>
          <w:b/>
          <w:color w:val="1A2010"/>
          <w:sz w:val="40"/>
        </w:rPr>
        <w:t xml:space="preserve">  Service Corporation International</w:t>
      </w:r>
    </w:p>
    <w:p>
      <w:pPr>
        <w:spacing w:after="120"/>
      </w:pPr>
      <w:r>
        <w:rPr>
          <w:rFonts w:ascii="Calibri" w:hAnsi="Calibri"/>
          <w:b/>
          <w:color w:val="6E8450"/>
          <w:sz w:val="18"/>
        </w:rPr>
        <w:t>GROWTH SLEEVE · 2026-08-08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Funeral Services · NYSE · United States</w:t>
      </w:r>
    </w:p>
    <w:p>
      <w:pPr>
        <w:spacing w:after="80"/>
      </w:pPr>
      <w:r>
        <w:rPr>
          <w:rFonts w:ascii="Calibri" w:hAnsi="Calibri"/>
          <w:b w:val="0"/>
          <w:color w:val="3A4A28"/>
          <w:sz w:val="20"/>
        </w:rPr>
        <w:t>Service Corporation International is the largest provider of deathcare products and services in North America, operating over 1,900 funeral service locations and 500+ cemeteries across 44 U.S. states, eight Canadian provinces, and the District of Columbia. The company operates under the Dignity Memorial, National Cremation Society, and other brands, offering funeral and cremation services, cemetery property and merchandise, and preneed planning.</w:t>
      </w:r>
    </w:p>
    <w:p>
      <w:r>
        <w:rPr>
          <w:rFonts w:ascii="Calibri" w:hAnsi="Calibri"/>
          <w:b/>
          <w:color w:val="6E8450"/>
          <w:sz w:val="18"/>
        </w:rPr>
        <w:t>26,000 Employees · https://www.sci-corp.com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SCI has expanded its digital marketing platform, generating higher-close-rate digital leads and growing preneed cemetery sales at high single-digit rates, but the core funeral and cemetery business model is unchanged from five years ago [1][2]. AI Deployment (0/2): No AI-powered products or quantified AI-driven efficiencies have been reported in earnings calls or public filings [2]. Market Share (2/2): SCI is the undisputed market share leader in North American deathcare, operating 1,900+ funeral homes and 500+ cemeteries — roughly 16% of the U.S. funeral market by revenue, more than 5x the next largest competitor [3]. Product Pipeline (1/2): Preneed cemetery sales growing mid-to-high single digits with an $8 billion cemetery trust fund portfolio providing long-term revenue visibility, but no next-generation product categories announced [2]. R&amp;D Intensity (0/1): Minimal R&amp;D spending as a percentage of revenue; the company invests in operational efficiency and acquisitions rather than technology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SCI's purpose centers on helping families celebrate the lives of those they love through the Dignity Memorial brand — a clear and service-oriented mission connecting deathcare to life celebration, but not distinctively different from regional funeral home operators' stated purposes. Community Impact (1/2): The company operates the Dignity Memorial Homeless Veterans Burial Program and supports community grief counseling resources, though specific dollar commitments to charitable programs are not prominently disclosed [4]. Employee Retention (0/2): Glassdoor rating of 3.1/5 with 1,776 reviews indicates below-average employee sentiment; recurring themes include 'micromanagement,' 'low pay,' and 'little advancement,' while some cite good benefits and work-life balance [4]. Insider Buying (0/2): No evidence of meaningful net insider buying by CEO Thomas Ryan or other executives in the last 12 months; executive compensation is heavily equity-based but no discretionary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Strong ROE of 34.7% reflects efficient capital deployment despite an aggressively leveraged balance sheet with D/E of 345% — well above the 300% floor, scoring 0 on that metric [3]. Forward P/E of 19.2 is below the 20 target, reflecting reasonable valuation for a mature, defensive business. Profit margin of 12.3% is modest, reflecting the labor-intensive nature of funeral services. Revenue growth YoY of approximately 3% is below the 10% target but positive. Forward PEG of 1.78 indicates moderate growth-adjusted valuation. Q2 FY2026 operating cash flow was strong with management raising FY2026 adjusted cash flow guidance by $50M to $1,085M midpoint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SCI operates as a competent but finite-minded industry consolidator. The company's strategy is primarily focused on operational efficiency, margin optimization, and acquiring independent funeral homes to grow market share. While the deathcare mission is inherently service-oriented, SCI's competitive language and strategic decisions emphasize financial engineering — aggressive share buybacks, leverage optimization, and cost discipline — over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SCI articulates a purpose around celebrating lives and serving families during their most difficult moments through the Dignity Memorial brand. However, this mission reads as industry-standard rather than a distinctive Just Cause that shapes strategic decisions. The company's investor communications focus primarily on EPS growth, cash flow generation, and capital returns rather than advancing a vision of how deathcare should evolve [1][2]. The purpose has not been tested through transformative strategic pivots.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Thomas Ryan has led SCI since 2016, providing leadership stability, and the company invests in associate wages and training according to proxy filings [5]. However, Glassdoor reviews (3.1/5) reveal a mixed picture — some employees describe a caring environment while others cite micromanagement, low pay, and limited advancement opportunities [4]. For a company with 26,000+ employees across 2,400 locations, culture consistency is inherently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SCI's competitive posture is that of a dominant consolidator rather than a company that learns from rivals. With 5x the revenue of the next largest competitor, SCI's strategy is to acquire independent funeral homes rather than compete on differentiated service innovation. Competitive language in earnings calls focuses on market share gains and operational leverage rather than improvement inspired by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SCI has adapted incrementally — expanding into preneed planning ($8B trust fund portfolio), growing cremation services as consumer preferences shifted from traditional burial, and developing digital marketing channels that generate higher-conversion leads [2]. These are meaningful adaptations to changing consumer behavior but represent incremental evolution of the same business model,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SCI has invested in preneed sales infrastructure and digital capabilities ahead of near-term returns, and management raised cash flow guidance by $50M mid-year despite Q1 EPS missing estimates, signaling confidence in the long-term trajectory [1][2]. However, the company's heavily leveraged balance sheet (D/E 345%) and aggressive share buyback program suggest a preference for financial engineering over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 Corporation International delivered Q2 FY2026 revenue of $1,103M (up 4% YoY) with diluted EPS of $0.90 vs. $0.86 prior year, and management raised FY2026 adjusted operating cash flow guidance by $50M to $1,085M midpoint while confirming the $4.20 adjusted EPS midpoint [1][2]. The company benefits from an irreplaceable competitive position — 1,900+ funeral homes and 500+ cemeteries with the Dignity Memorial brand — and a powerful demographic tailwind as 73 million baby boomers enter peak mortality years over the next two decades. Preneed cemetery sales growing high single digits and an $8B trust fund portfolio provide long-term revenue visibility, while the 35% payout ratio and strong FCF ($535M TTM) support continued dividend growth (12 consecutive years) and share buybacks [3].</w:t>
      </w:r>
    </w:p>
    <w:p>
      <w:pPr>
        <w:spacing w:after="120"/>
      </w:pPr>
      <w:r>
        <w:rPr>
          <w:rFonts w:ascii="Calibri" w:hAnsi="Calibri"/>
          <w:b w:val="0"/>
          <w:color w:val="3A4A28"/>
          <w:sz w:val="20"/>
        </w:rPr>
        <w:t>The primary concern is SCI's aggressive leverage at 345% D/E ($5.3B total debt) with an Altman Z-Score of 0.78, placing it firmly in the distress zone despite consistent cash flow generation [3]. Revenue growth remains pedestrian at 3% YoY — the company is a low-single-digit grower reliant on pricing power and acquisitions rather than organic expansion. Q1 FY2026 saw margin compression with net income declining 5% YoY despite revenue growth, and EPS of $0.97 missed the $1.02 estimate [1]. The 1.69% dividend yield falls short of the 2% threshold for income investors, while the 22x trailing P/E may overvalue a company with sub-5% top-line growth. The funeral industry faces secular headwinds from rising cremation rates (now ~60% of dispositions) which carry lower average revenue per service than traditional burial.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mortality wave beginning to accelerate — U.S. deaths projected to increase 1-2% annually through the 2040s, providing a structural volume tailwind for SCI's 2,400 locations</w:t>
      </w:r>
    </w:p>
    <w:p>
      <w:pPr>
        <w:spacing w:before="40" w:after="40"/>
        <w:ind w:left="283"/>
      </w:pPr>
      <w:r>
        <w:rPr>
          <w:rFonts w:ascii="Calibri" w:hAnsi="Calibri"/>
          <w:b/>
          <w:color w:val="4A6B25"/>
          <w:sz w:val="20"/>
        </w:rPr>
        <w:t xml:space="preserve">2. </w:t>
      </w:r>
      <w:r>
        <w:rPr>
          <w:rFonts w:ascii="Calibri" w:hAnsi="Calibri"/>
          <w:b w:val="0"/>
          <w:color w:val="3A4A28"/>
          <w:sz w:val="20"/>
        </w:rPr>
        <w:t>Management guiding double-digit EPS growth in H2 2026 with preneed cemetery sales at mid-to-high single-digit growth and $64M in renewable energy tax credits reducing FY2026 cash tax rate to 15-16%</w:t>
      </w:r>
    </w:p>
    <w:p>
      <w:pPr>
        <w:spacing w:before="40" w:after="40"/>
        <w:ind w:left="283"/>
      </w:pPr>
      <w:r>
        <w:rPr>
          <w:rFonts w:ascii="Calibri" w:hAnsi="Calibri"/>
          <w:b/>
          <w:color w:val="4A6B25"/>
          <w:sz w:val="20"/>
        </w:rPr>
        <w:t xml:space="preserve">3. </w:t>
      </w:r>
      <w:r>
        <w:rPr>
          <w:rFonts w:ascii="Calibri" w:hAnsi="Calibri"/>
          <w:b w:val="0"/>
          <w:color w:val="3A4A28"/>
          <w:sz w:val="20"/>
        </w:rPr>
        <w:t>Continued industry consolidation opportunity — independent funeral homes represent ~85% of the U.S. market, with $75-125M annual acquisition target providing accretive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Altman Z-Score of 0.78 and D/E of 345% create meaningful financial distress risk if interest rates remain elevated or if a recession suppresses preneed sales — $5.3B total debt requires consistent refinancing access</w:t>
      </w:r>
    </w:p>
    <w:p>
      <w:pPr>
        <w:spacing w:before="40" w:after="40"/>
        <w:ind w:left="283"/>
      </w:pPr>
      <w:r>
        <w:rPr>
          <w:rFonts w:ascii="Calibri" w:hAnsi="Calibri"/>
          <w:b/>
          <w:color w:val="4A6B25"/>
          <w:sz w:val="20"/>
        </w:rPr>
        <w:t xml:space="preserve">2. </w:t>
      </w:r>
      <w:r>
        <w:rPr>
          <w:rFonts w:ascii="Calibri" w:hAnsi="Calibri"/>
          <w:b w:val="0"/>
          <w:color w:val="3A4A28"/>
          <w:sz w:val="20"/>
        </w:rPr>
        <w:t>Cremation rate approaching 60% and rising compresses average revenue per service, as cremation generates roughly 40% less revenue than traditional burial — pricing power alone may not offset volume mix shift</w:t>
      </w:r>
    </w:p>
    <w:p>
      <w:pPr>
        <w:spacing w:before="40" w:after="40"/>
        <w:ind w:left="283"/>
      </w:pPr>
      <w:r>
        <w:rPr>
          <w:rFonts w:ascii="Calibri" w:hAnsi="Calibri"/>
          <w:b/>
          <w:color w:val="4A6B25"/>
          <w:sz w:val="20"/>
        </w:rPr>
        <w:t xml:space="preserve">3. </w:t>
      </w:r>
      <w:r>
        <w:rPr>
          <w:rFonts w:ascii="Calibri" w:hAnsi="Calibri"/>
          <w:b w:val="0"/>
          <w:color w:val="3A4A28"/>
          <w:sz w:val="20"/>
        </w:rPr>
        <w:t>Q1 FY2026 margin compression (net income -5% YoY) from insurance vendor transition headwinds (200bps funeral margin impact) and rising labor costs may persist longer than management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SCI's core business — preparing human remains, hosting funerals, operating cemeteries, and providing grief counseling — is fundamentally physical, emotional, and irreplaceable by AI. People will continue to die, and families will continue to need in-person deathcare services delivered with compassion and dignity. The business involves licensed embalming, physical property maintenance across 500+ cemeteries, and face-to-face preneed sales conversations that require deep emotional intelligence [3]. No analyst has flagged AI as a substitution risk for the deathcare industry. The demographic tailwind of an aging U.S. population (baby boomers entering peak mortality years) is structurally AI-independent. AI Opportunity (0/1): No quantifiable AI-driven revenue. SCI uses digital marketing tools and data analytics for lead generation but has not disclosed specific AI products or AI-attributable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 Corporation International Q1 FY2026 Earnings Release —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Service Corporation International Q2 FY2026 Earnings Call Summary — Yahoo Finance / MarketBeat, July 31,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SCI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Service Corporation International, 1,776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Service Corporation International DEF 14A Proxy Statement — SEC Filing, FY2026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