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w:t>
      </w:r>
      <w:r>
        <w:rPr>
          <w:rFonts w:ascii="Calibri" w:hAnsi="Calibri"/>
          <w:b/>
          <w:color w:val="1A2010"/>
          <w:sz w:val="40"/>
        </w:rPr>
        <w:t xml:space="preserve">  Stifel Financial Corp.</w:t>
      </w:r>
    </w:p>
    <w:p>
      <w:pPr>
        <w:spacing w:after="120"/>
      </w:pPr>
      <w:r>
        <w:rPr>
          <w:rFonts w:ascii="Calibri" w:hAnsi="Calibri"/>
          <w:b/>
          <w:color w:val="6E8450"/>
          <w:sz w:val="18"/>
        </w:rPr>
        <w:t>GROWTH SLEEVE · 2026-07-27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Investment Banking &amp; Brokerage · NYSE · United States</w:t>
      </w:r>
    </w:p>
    <w:p>
      <w:pPr>
        <w:spacing w:after="80"/>
      </w:pPr>
      <w:r>
        <w:rPr>
          <w:rFonts w:ascii="Calibri" w:hAnsi="Calibri"/>
          <w:b w:val="0"/>
          <w:color w:val="3A4A28"/>
          <w:sz w:val="20"/>
        </w:rPr>
        <w:t>Stifel Financial Corp. is a diversified financial services holding company providing securities brokerage, investment banking, trading, investment advisory, and related financial services. The firm operates over 400 retail offices across the US with 2,200+ financial advisors in its Global Wealth Management segment, and serves institutional clients through equity research, fixed income, and investment banking. Q2 2026 delivered record $1.45B revenue with investment banking up 42% YoY. CEO Ron Kruszewski has led the company for nearly three decades through 30+ acquisitions. Founded in 1890, headquartered in St. Louis, Missouri.</w:t>
      </w:r>
    </w:p>
    <w:p>
      <w:r>
        <w:rPr>
          <w:rFonts w:ascii="Calibri" w:hAnsi="Calibri"/>
          <w:b/>
          <w:color w:val="6E8450"/>
          <w:sz w:val="18"/>
        </w:rPr>
        <w:t>9,050 Employees · https://www.stifel.com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Stifel has grown through approximately 30 acquisitions since 1997 under CEO Kruszewski, building from a regional brokerage to a full-service financial firm with $1.45B quarterly revenue [1]. This is steady empire-building through M&amp;A rather than product innovation or business model transformation — the core wealth management and institutional brokerage model has remained fundamentally unchanged. AI Deployment (0/2): CEO Kruszewski acknowledges AI is helping advisors discover more opportunities, but Stifel has no AI products, no quantified AI-driven efficiency gains, and no AI-powered client-facing tools [3]. The company's technology is described as 'outdated' by employees, suggesting limited technology investment. Market Share (1/2): Stifel is gaining meaningful share in investment banking with Q2 2026 IB revenues up 42% YoY and capital raising up 64%, demonstrating the firm's growing competitive position in mid-market banking [1]. The 2,200+ advisor force and $1.45B quarterly revenue make Stifel a significant player. Product Pipeline (1/2): Strong investment banking pipeline visible through 42% YoY IB revenue growth, 64% capital raising growth, and 24% advisory growth in Q2 2026, with continued advisor recruiting expanding the wealth management footprint [1]. R&amp;D Intensity (0/1): As a traditional financial services firm, Stifel does not invest meaningfully in R&amp;D relative to technology-oriented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Stifel's culture emphasizes a client-first, entrepreneurial approach, and CEO Kruszewski's statement that 'advice is not an algorithm' articulates a human-centered philosophy that differentiates from robo-advisory trends [3]. The company's 136-year history since 1890 provides institutional continuity. However, the purpose is essentially 'serve clients well through trusted relationships' — clear but not distinctive among financial services firms. Community Impact (0/2): Stifel publishes a Corporate Sustainability Report and has corporate responsibility programs, but no specific charitable programs with dollar amounts or distinctive community investment was identified [4]. Employee Retention (1/2): CEO Kruszewski's nearly 30-year tenure and the firm's aggressive advisor recruiting (described as a 'recruiting boom') suggest that experienced financial advisors are attracted to the platform [3]. The entrepreneurial autonomy and client-first culture are cited positively. However, Built In describes 'uneven enablement,' 'occasional toxic dynamics,' 'lean structure,' 'limited training,' 'outdated tech,' and 'strict in-office expectations' — a mixed picture [3]. Insider Buying (0/2): No specific data on insider buying or selling for Stifel executives was identified in the 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Stifel delivered record Q2 2026 revenue of $1.45B (up 13% YoY) and record H1 2026 EPS of $2.87 (up 28%), with the Global Wealth Management segment contributing $956.5M and the Institutional Group $480.7M [1]. The financial profile is very strong: D/E of 41.53% with $5.76B cash against $2.49B debt, ROE of 16.64% above the 15% target, and profit margin of 16.22% [5]. Revenue growth of 15.50% YoY and a PEG ratio of 0.32 indicate exceptional value relative to growth — the forward P/E of 11.38 prices in minimal upside despite accelerating earnings [5]. The 5-year revenue CAGR of 4.7% reflects the cyclicality of investment banking and capital markets, depressed by the 2022-2023 downturn. Non-GAAP pre-tax margin reached 21.7% with annualized ROTCE of 23.6% and tangible book value per share of $25.52, up 15%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Stifel under Ron Kruszewski shows meaningful elements of infinite game thinking: a nearly 30-year CEO tenure building patiently through cycles, approximately 30 acquisitions assembling a diversified franchise, and continued advisor recruiting during market uncertainty. The company has endured since 1890, demonstrating institutional longevity. However, the growth-through-acquisition model, mixed employee culture, and absence of a transcendent purpose beyond client service place Stifel in the mixed category — a competent builder playing a long game but not an inspiring infinite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Stifel's purpose centers on serving clients through trusted financial advice, encapsulated in Kruszewski's 'advice is not an algorithm' philosophy [3]. The company's 136-year institutional history since 1890 provides longevity, and the client-first culture is genuine. However, this is a standard financial services purpose that could describe any wealth manager. It does not meet Sinek's test of a cause that is 'so appealing people will sacrifice to advance it.' The purpose is functional, not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Stifel's culture features strengths in entrepreneurial autonomy, client-centric ownership, and collaboration, with a 'recruiting boom' attracting experienced advisors who value the platform's flexibility [3]. CEO Kruszewski's 28+ year tenure provides leadership stability. However, the culture is uneven — Built In notes 'occasional toxic dynamics,' 'lean structure,' 'limited training,' and 'outdated tech' that create friction [3]. The mix of strong advisor-facing culture and inconsistent corporate support reflects a company that excels at empowering client-facing professionals but underinvests in organizational infrastructure.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Kruszewski explicitly engages with the AI disruption narrative by arguing against it rather than dismissing it, stating that the 'recruiting boom' proves firms are betting on people over technology [3]. This framing uses competitive pressure (AI and robo-advisory) to clarify Stifel's own path — doubling down on human advisory rather than trying to out-technology Schwab or Robinhood. The company improves its offering by learning from what technology-forward rivals do well rather than trying to beat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Stifel has evolved from a small regional brokerage into a full-service financial holding company through approximately 30 acquisitions since 1997, significantly expanding from wealth management into institutional trading, equity research, fixed income, and investment banking [1]. This is meaningful strategic evolution across business lines, though accomplished through incremental M&amp;A rather than a single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Kruszewski continued investing in advisor recruiting and M&amp;A through multiple market downturns over his 28-year tenure, building countercyclically when competitors pulled back [1][3]. The firm's investment banking revenues surged 42% YoY in Q2 2026, reflecting years of capability building. Kruszewski publicly pushed back against the AI-replaces-advisors narrative, staking the firm's competitive position on human capital over technology during a period of intense AI hype [3]. However, these are measured bets from a position of consistent profitability, not courageous sacrifices during genuine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Stifel Financial is delivering record financial performance under CEO Kruszewski's 28-year leadership: Q2 2026 revenue of $1.45B (up 13%), H1 EPS of $2.87 (record, up 28%), with investment banking revenue surging 42% and capital raising up 64% [1]. At a forward P/E of 11.38 and PEG of 0.32, the stock is deeply undervalued relative to growth — the market prices in almost no benefit from the investment banking cycle recovery. D/E of 41.53% with $5.76B cash, ROE of 16.64%, and 21.7% non-GAAP pre-tax margin demonstrate a high-quality financial franchise [5]. The 32-year dividend payment track record and 22.6% payout ratio provide income floor with ample room for dividend growth.</w:t>
      </w:r>
    </w:p>
    <w:p>
      <w:pPr>
        <w:spacing w:after="120"/>
      </w:pPr>
      <w:r>
        <w:rPr>
          <w:rFonts w:ascii="Calibri" w:hAnsi="Calibri"/>
          <w:b w:val="0"/>
          <w:color w:val="3A4A28"/>
          <w:sz w:val="20"/>
        </w:rPr>
        <w:t>The primary concern is cyclicality: Stifel's earnings are heavily levered to capital markets activity, and the current investment banking boom (42% YoY IB growth) may prove cyclical rather than secular [1]. The 5-year revenue CAGR of only 4.7% reflects the deep trough of 2022-2023, and the stock at $73.81 (up 34% from recent lows) may already reflect much of the recovery. CEO Kruszewski's comment that 'I'm not sure any of us really fully understood what Mythos was' reveals that the firm is behind on AI readiness, and employee descriptions of 'outdated tech' and 'limited training' suggest underinvestment in technology infrastructure [3]. Wealth management faces long-term structural pressure from robo-advisory and fee compression, and the advisor-dependent model creates key-person risk if top producers leave. The dividend yield of 1.76% is below the 2% threshold for IOWN dividend sleeve qualification.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 banking cycle acceleration with Q2 2026 IB revenue up 42%, capital raising up 64%, and advisory up 24% YoY suggests Stifel is capturing disproportionate share of the mid-market IB recovery</w:t>
      </w:r>
    </w:p>
    <w:p>
      <w:pPr>
        <w:spacing w:before="40" w:after="40"/>
        <w:ind w:left="283"/>
      </w:pPr>
      <w:r>
        <w:rPr>
          <w:rFonts w:ascii="Calibri" w:hAnsi="Calibri"/>
          <w:b/>
          <w:color w:val="4A6B25"/>
          <w:sz w:val="20"/>
        </w:rPr>
        <w:t xml:space="preserve">2. </w:t>
      </w:r>
      <w:r>
        <w:rPr>
          <w:rFonts w:ascii="Calibri" w:hAnsi="Calibri"/>
          <w:b w:val="0"/>
          <w:color w:val="3A4A28"/>
          <w:sz w:val="20"/>
        </w:rPr>
        <w:t>Forward PEG of 0.32 implies the market prices in minimal earnings growth — continued delivery of 20%+ EPS growth through H2 2026 could trigger significant multiple expansion from the 11.38x forward P/E</w:t>
      </w:r>
    </w:p>
    <w:p>
      <w:pPr>
        <w:spacing w:before="40" w:after="40"/>
        <w:ind w:left="283"/>
      </w:pPr>
      <w:r>
        <w:rPr>
          <w:rFonts w:ascii="Calibri" w:hAnsi="Calibri"/>
          <w:b/>
          <w:color w:val="4A6B25"/>
          <w:sz w:val="20"/>
        </w:rPr>
        <w:t xml:space="preserve">3. </w:t>
      </w:r>
      <w:r>
        <w:rPr>
          <w:rFonts w:ascii="Calibri" w:hAnsi="Calibri"/>
          <w:b w:val="0"/>
          <w:color w:val="3A4A28"/>
          <w:sz w:val="20"/>
        </w:rPr>
        <w:t>Continued advisor recruiting expanding the 2,200+ advisor base, combined with rising asset values increasing fee-based revenue, could sustain wealth management organic growth above the 13%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markets cyclicality: the 42% YoY IB revenue surge reflects a cyclical recovery from the 2022-2023 trough, and the 5-year revenue CAGR of only 4.7% reveals how dramatically earnings can compress in a downturn</w:t>
      </w:r>
    </w:p>
    <w:p>
      <w:pPr>
        <w:spacing w:before="40" w:after="40"/>
        <w:ind w:left="283"/>
      </w:pPr>
      <w:r>
        <w:rPr>
          <w:rFonts w:ascii="Calibri" w:hAnsi="Calibri"/>
          <w:b/>
          <w:color w:val="4A6B25"/>
          <w:sz w:val="20"/>
        </w:rPr>
        <w:t xml:space="preserve">2. </w:t>
      </w:r>
      <w:r>
        <w:rPr>
          <w:rFonts w:ascii="Calibri" w:hAnsi="Calibri"/>
          <w:b w:val="0"/>
          <w:color w:val="3A4A28"/>
          <w:sz w:val="20"/>
        </w:rPr>
        <w:t>Technology underinvestment: employees describe 'outdated tech' and 'limited training' while CEO acknowledges uncertainty about advanced AI systems, creating competitive vulnerability against technology-forward wealth platforms</w:t>
      </w:r>
    </w:p>
    <w:p>
      <w:pPr>
        <w:spacing w:before="40" w:after="40"/>
        <w:ind w:left="283"/>
      </w:pPr>
      <w:r>
        <w:rPr>
          <w:rFonts w:ascii="Calibri" w:hAnsi="Calibri"/>
          <w:b/>
          <w:color w:val="4A6B25"/>
          <w:sz w:val="20"/>
        </w:rPr>
        <w:t xml:space="preserve">3. </w:t>
      </w:r>
      <w:r>
        <w:rPr>
          <w:rFonts w:ascii="Calibri" w:hAnsi="Calibri"/>
          <w:b w:val="0"/>
          <w:color w:val="3A4A28"/>
          <w:sz w:val="20"/>
        </w:rPr>
        <w:t>Advisor-dependent model concentrates revenue in key producers — the 'recruiting boom' cuts both ways, as advisors attracted by entrepreneurial freedom can also leave for competitor platforms offering better technology or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Stifel's core business lines are meaningfully protected from AI disruption through relationship-driven moats. Wealth management with 2,200+ advisors serving high-net-worth clients depends on trust-based personal relationships that AI cannot replicate — as CEO Kruszewski argues, 'advice is not an algorithm' [3]. Investment banking advisory and capital raising require human judgment, deal negotiation, and institutional relationships built over decades. However, AI creates real pressure on some business lines: equity research could face compression from AI-generated analysis, algorithmic trading threatens institutional trading margins, and AI-powered financial planning tools could reduce the value proposition of mid-tier advisory. Stifel's 'outdated tech' (per employee reviews) suggests limited internal AI adoption, creating competitive vulnerability against more technology-forward peers. AI Opportunity (0/1): Stifel has no AI revenue. CEO Kruszewski acknowledges AI helps advisors discover opportunities, but the company has no AI products, no quantified AI savings, and employees describe the technology as outdated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Stifel Financial Q2 2026 Earnings Release — GlobeNewsWire,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Stifel Financial Q1 2026 Earnings Release — Stifel Investor Relations, April 2026</w:t>
      </w:r>
    </w:p>
    <w:p>
      <w:pPr>
        <w:spacing w:before="20" w:after="20"/>
        <w:ind w:left="170"/>
      </w:pPr>
      <w:r>
        <w:rPr>
          <w:rFonts w:ascii="Calibri" w:hAnsi="Calibri"/>
          <w:b/>
          <w:color w:val="4A6B25"/>
          <w:sz w:val="15"/>
        </w:rPr>
        <w:t xml:space="preserve">3. </w:t>
      </w:r>
      <w:r>
        <w:rPr>
          <w:rFonts w:ascii="Calibri" w:hAnsi="Calibri"/>
          <w:b w:val="0"/>
          <w:color w:val="3A4A28"/>
          <w:sz w:val="17"/>
        </w:rPr>
        <w:t>Stifel CEO Ron Kruszewski on AI, Recruiting, and Culture — AdvisorHub, Wealthmanagement.com, Built In, 2025-2026</w:t>
      </w:r>
    </w:p>
    <w:p>
      <w:pPr>
        <w:spacing w:before="20" w:after="20"/>
        <w:ind w:left="170"/>
      </w:pPr>
      <w:r>
        <w:rPr>
          <w:rFonts w:ascii="Calibri" w:hAnsi="Calibri"/>
          <w:b/>
          <w:color w:val="4A6B25"/>
          <w:sz w:val="15"/>
        </w:rPr>
        <w:t xml:space="preserve">4. </w:t>
      </w:r>
      <w:r>
        <w:rPr>
          <w:rFonts w:ascii="Calibri" w:hAnsi="Calibri"/>
          <w:b w:val="0"/>
          <w:color w:val="3A4A28"/>
          <w:sz w:val="17"/>
        </w:rPr>
        <w:t>Stifel Financial 2025 Corporate Sustainability Report — stifel.com, 2025</w:t>
      </w:r>
    </w:p>
    <w:p>
      <w:pPr>
        <w:spacing w:before="20" w:after="20"/>
        <w:ind w:left="170"/>
      </w:pPr>
      <w:r>
        <w:rPr>
          <w:rFonts w:ascii="Calibri" w:hAnsi="Calibri"/>
          <w:b/>
          <w:color w:val="4A6B25"/>
          <w:sz w:val="15"/>
        </w:rPr>
        <w:t xml:space="preserve">5. </w:t>
      </w:r>
      <w:r>
        <w:rPr>
          <w:rFonts w:ascii="Calibri" w:hAnsi="Calibri"/>
          <w:b w:val="0"/>
          <w:color w:val="3A4A28"/>
          <w:sz w:val="17"/>
        </w:rPr>
        <w:t>Forbes / StockAnalysis.com / Nasdaq — SF Key Statistics, PEG Ratio,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