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SHEL</w:t>
      </w:r>
      <w:r>
        <w:rPr>
          <w:rFonts w:ascii="Calibri" w:hAnsi="Calibri"/>
          <w:b/>
          <w:color w:val="1A2010"/>
          <w:sz w:val="40"/>
        </w:rPr>
        <w:t xml:space="preserve">  Shell plc</w:t>
      </w:r>
    </w:p>
    <w:p>
      <w:pPr>
        <w:spacing w:after="120"/>
      </w:pPr>
      <w:r>
        <w:rPr>
          <w:rFonts w:ascii="Calibri" w:hAnsi="Calibri"/>
          <w:b/>
          <w:color w:val="6E8450"/>
          <w:sz w:val="18"/>
        </w:rPr>
        <w:t>DIVIDEND SLEEVE · 2026-08-24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(ADR) / LSE · United Kingdom</w:t>
      </w:r>
    </w:p>
    <w:p>
      <w:pPr>
        <w:spacing w:after="80"/>
      </w:pPr>
      <w:r>
        <w:rPr>
          <w:rFonts w:ascii="Calibri" w:hAnsi="Calibri"/>
          <w:b w:val="0"/>
          <w:color w:val="3A4A28"/>
          <w:sz w:val="20"/>
        </w:rPr>
        <w:t>Shell plc is a global integrated energy major operating upstream oil and gas production, LNG (the world's largest LNG trading and shipping portfolio), refining, chemicals, and a downstream retail/marketing network, alongside a scaled-back renewables and energy solutions business. Under CEO Wael Sawan's 'simplification' strategy since 2023, Shell has divested non-core low-carbon and power assets to refocus capital on its highest-return oil, gas, and LNG businesses while targeting $5-7B in structural cost reductions through 2026 ($700M delivered in H1 2026 alone) [1][2]. Q2 2026 revenue reached $94.7B (+45% YoY) with adjusted earnings of $9.8B, driven by record upstream output in Brazil, peak refinery utilization (~102%), and strong LNG trading, even amid Middle East operating disruption [1].</w:t>
      </w:r>
    </w:p>
    <w:p>
      <w:r>
        <w:rPr>
          <w:rFonts w:ascii="Calibri" w:hAnsi="Calibri"/>
          <w:b/>
          <w:color w:val="6E8450"/>
          <w:sz w:val="18"/>
        </w:rPr>
        <w:t>91,000 Employees · https://www.shell.com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Since 2023, Shell has executed a deliberate 'simplification' strategy under CEO Wael Sawan — divesting non-core low-carbon power and renewables assets, driving nearly $6B in portfolio-related savings since 2022, and reaching record Brazil upstream output and ~102% refinery utilization in Q2 2026 [1]. This is a meaningful operational and portfolio realignment, though it is a retrenchment toward the legacy core business rather than a transformative new-market pivot. AI Deployment (1/2): Shell has deployed AI-driven predictive maintenance that management links to cost savings and operational reliability, and is positioning to sell energy and enabling infrastructure to AI data centers, but no specific dollar figure for AI-attributable savings or revenue was disclosed [2]. Market Share (2/2): Shell operates the world's largest LNG trading and shipping portfolio and posted record upstream output in Brazil plus peak (~102%) refinery utilization in Q2 2026 — clear category-leadership evidence [1]. Product Pipeline (0/2): No specific next-generation product or project was named with a public launch date and revenue visibility in available research. R&amp;D Intensity (0/1): No evidence was found that Shell's R&amp;D spend as a percentage of revenue is above the integrated oil &amp; gas peer average; capital allocation research emphasizes cost-cutting and portfolio simplification over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Shell's stated purpose is to 'power progress by providing more and cleaner energy solutions,' which is clear and industry-relevant, but the company's own 2023-2026 strategic pivot — scaling back low-carbon/renewables targets and divesting clean-energy assets to refocus on oil, gas, and LNG under investor pressure — undercuts confidence that the 'cleaner energy' half of the mission is a durable strategic anchor rather than a message of convenience [1][2]. Community Impact (2/2): Shell Foundation runs specific, named programs including the ClimaFii Alliance (with Accion, BFA Global, and Upaya Social Ventures, co-funded by UK aid) providing catalytic finance and technical assistance for clean-energy and electric-mobility microenterprises across India and sub-Saharan Africa, with a second cohort opened in December 2025 — distinctive, ongoing, and specifically documented [2]. Employee Retention (0/2): No specific tenure or voluntary-turnover data was found in research (Glassdoor sentiment scores are excluded from this evidence item per screening rules). Insider Buying (0/2): No evidence of meaningful net insider buying by Shell executives was found in the available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Dividend-sleeve stock. Shell clears nearly every core target: D/E of ~40% (target ≤70%), Forward P/E of 9.02x (target ≤20x), and profit margin of ~8.8% all score well, while ROE of 14.3% sits just under the 15% target. Revenue growth is volatile with commodity prices — trailing YoY growth of +22% (H1 2026 vs. H1 2025) clears the 10% target, and the 5-year revenue CAGR of +8.4% (measured off the pandemic-depressed 2021 base) also clears target [1]. On dividend quality, Shell has not missed a dividend payment since 1945 (~80 consecutive years paid), has raised the dividend for 5 consecutive years since resuming growth after the 2020 pandemic-era cut, carries a manageable 45.4% payout ratio, and shows a 5-year dividend growth CAGR of ~15.3% — more than double the 6% inflation-adjusted target. The stock trades at ~$93 on heavy multi-million-share daily ADR volume, clearing the liquidity floor by a wide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Shell talks about 'powering progress' with 'more and cleaner energy,' but the CEO Sawan-era 'simplification' strategy — divesting low-carbon and renewables investments, scaling back prior energy-transition targets, and prioritizing buybacks and cost cuts amid activist investor pressure (including from Third Point) — is a textbook example of a company adjusting its stated cause to fit market conditions rather than holding a Just Cause steady through the cycle. The underlying operating business is durable and well-run, but Sinek would flag the retreat from previously stated transition commitments as finite-game behavior.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Shell's 'powering progress through cleaner energy' purpose is publicly stated but has proven malleable — the company scaled back low-carbon investment targets and divested renewables/power-retail assets in 2023-2026 as oil prices and investor pressure favored a return to core fossil-fuel operations, suggesting the cause bends to market conditions rather than anchoring strategy through the cycle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Shell maintains a large, stable global workforce (~91,000 employees) with structured career paths, but employee accounts describe a recurring pattern of downturn-driven layoffs and competition for roles when oil prices fall, followed by understaffing when activity rebounds — a cyclicality that works against the deep, durable psychological safety Sinek's framework rewards.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 language centers on 'competitive advantage,' cost leadership, and shareholder-return competition with ExxonMobil and Chevron rather than explicit acknowledgment of learning from rivals' strengths; no specific commentary framing competitors as sources of self-improvement was found in research.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Shell has shifted its portfolio mix over the past decade — expanding into power, renewables, and low-carbon solutions and then partially reversing course to refocus on core oil, gas, and LNG under the 2023-2026 simplification strategy — but this reads as reactive portfolio rebalancing in response to investor pressure and commodity cycles rather than a decisive, cause-driven transformation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Shell continues to commit tens of billions of dollars to long-cycle, multi-decade LNG and deepwater projects that require patient capital and near-term earnings risk, which took real conviction to sustain through the 2020 price collapse. However, the more recent pattern — prioritizing buybacks and cost-cutting while scaling back previously announced low-carbon investment plans under activist pressure — looks more like optimizing for current shareholder returns than sacrificing near-term performance for a longer-term cause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Shell is a cash-generative, disciplined integrated energy major trading at a discounted 9.02x forward earnings while delivering Q2 2026 revenue of $94.7B (+45% YoY) and adjusted earnings of $9.8B (+128% YoY), with free cash flow surging to $17.5B on record Brazil upstream output and ~102% refinery utilization [1]. The world's largest LNG trading and shipping franchise gives Shell structural exposure to a commodity increasingly demanded by AI data centers and industrial electrification, and management's 'simplification' strategy has already delivered ~$6B in portfolio-related savings since 2022 against a $5-7B structural cost target, funding an 80-year unbroken dividend record (yield ~3.4%, payout ratio 45%, 5-year dividend growth CAGR of ~15%) plus an active buyback program [1][2].</w:t>
      </w:r>
    </w:p>
    <w:p>
      <w:pPr>
        <w:spacing w:after="120"/>
      </w:pPr>
      <w:r>
        <w:rPr>
          <w:rFonts w:ascii="Calibri" w:hAnsi="Calibri"/>
          <w:b w:val="0"/>
          <w:color w:val="3A4A28"/>
          <w:sz w:val="20"/>
        </w:rPr>
        <w:t>The bear case centers on cyclicality and strategic inconsistency. Full-year revenue has declined in three of the last four years (2023: -16.3%, 2024: -10.6%, 2025: -5.3%) as post-2022 energy prices normalized, and the 2026 rebound is heavily commodity-price and trading-driven rather than structural, meaning a reversal in oil/gas prices could quickly compress the current 8.8% profit margin and 14.3% ROE [1]. Shell also faces active climate litigation — Milieudefensie announced a new Dutch case in April 2026 demanding Shell halt new oil and gas field development and impose court-ordered emissions targets, adding to a pending Dutch Supreme Court climate case with a May 2026 hearing — creating open-ended legal and reputational tail risk [3]. Strategically, Shell's retreat from previously stated low-carbon investment targets under the Sawan-era simplification plan, while financially rational near-term, raises questions about long-run positioning if the energy transition accelerates faster than management currently expects, and leaves the stock's Infinite Game profile weaker than its financial quality would suggest.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LNG demand growth from AI data center electrification and Asian industrial demand, where Shell's #1 global LNG trading and shipping position provides direct exposure to rising volumes and trading margins [1]</w:t>
      </w:r>
    </w:p>
    <w:p>
      <w:pPr>
        <w:spacing w:before="40" w:after="40"/>
        <w:ind w:left="283"/>
      </w:pPr>
      <w:r>
        <w:rPr>
          <w:rFonts w:ascii="Calibri" w:hAnsi="Calibri"/>
          <w:b/>
          <w:color w:val="4A6B25"/>
          <w:sz w:val="20"/>
        </w:rPr>
        <w:t xml:space="preserve">2. </w:t>
      </w:r>
      <w:r>
        <w:rPr>
          <w:rFonts w:ascii="Calibri" w:hAnsi="Calibri"/>
          <w:b w:val="0"/>
          <w:color w:val="3A4A28"/>
          <w:sz w:val="20"/>
        </w:rPr>
        <w:t>Continued delivery against the $5-7B structural cost reduction target (already $700M delivered in H1 2026, ~$6B in portfolio savings since 2022), which directly supports free cash flow, buybacks, and dividend growth [1]</w:t>
      </w:r>
    </w:p>
    <w:p>
      <w:pPr>
        <w:spacing w:before="40" w:after="40"/>
        <w:ind w:left="283"/>
      </w:pPr>
      <w:r>
        <w:rPr>
          <w:rFonts w:ascii="Calibri" w:hAnsi="Calibri"/>
          <w:b/>
          <w:color w:val="4A6B25"/>
          <w:sz w:val="20"/>
        </w:rPr>
        <w:t xml:space="preserve">3. </w:t>
      </w:r>
      <w:r>
        <w:rPr>
          <w:rFonts w:ascii="Calibri" w:hAnsi="Calibri"/>
          <w:b w:val="0"/>
          <w:color w:val="3A4A28"/>
          <w:sz w:val="20"/>
        </w:rPr>
        <w:t>Record operational execution — Brazil upstream output and ~102% refinery utilization in Q2 2026 — sustaining into H2 2026 would reinforce the 'more value, less emissions' simplification narrative to investors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cyclicality — three of the last four fiscal years saw revenue declines (2023 -16.3%, 2024 -10.6%, 2025 -5.3%) as post-2022 energy prices normalized, and a renewed downturn would pressure the 2026 earnings surge that is partly trading- and price-driven [1]</w:t>
      </w:r>
    </w:p>
    <w:p>
      <w:pPr>
        <w:spacing w:before="40" w:after="40"/>
        <w:ind w:left="283"/>
      </w:pPr>
      <w:r>
        <w:rPr>
          <w:rFonts w:ascii="Calibri" w:hAnsi="Calibri"/>
          <w:b/>
          <w:color w:val="4A6B25"/>
          <w:sz w:val="20"/>
        </w:rPr>
        <w:t xml:space="preserve">2. </w:t>
      </w:r>
      <w:r>
        <w:rPr>
          <w:rFonts w:ascii="Calibri" w:hAnsi="Calibri"/>
          <w:b w:val="0"/>
          <w:color w:val="3A4A28"/>
          <w:sz w:val="20"/>
        </w:rPr>
        <w:t>Escalating climate litigation, including a new April 2026 Milieudefensie case seeking a court-ordered halt to new oil and gas field development and binding emissions targets, plus a pending Dutch Supreme Court climate case with a May 2026 hearing, creating open-ended legal exposure [3]</w:t>
      </w:r>
    </w:p>
    <w:p>
      <w:pPr>
        <w:spacing w:before="40" w:after="40"/>
        <w:ind w:left="283"/>
      </w:pPr>
      <w:r>
        <w:rPr>
          <w:rFonts w:ascii="Calibri" w:hAnsi="Calibri"/>
          <w:b/>
          <w:color w:val="4A6B25"/>
          <w:sz w:val="20"/>
        </w:rPr>
        <w:t xml:space="preserve">3. </w:t>
      </w:r>
      <w:r>
        <w:rPr>
          <w:rFonts w:ascii="Calibri" w:hAnsi="Calibri"/>
          <w:b w:val="0"/>
          <w:color w:val="3A4A28"/>
          <w:sz w:val="20"/>
        </w:rPr>
        <w:t>Strategic reversal risk — Shell's scaling back of previously announced low-carbon and renewables investment targets under investor pressure could leave the company structurally exposed if the energy transition accelerates faster than the current 'simplification' strategy assumes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Shell's core business — physically extracting, processing, shipping, and selling oil, gas, and LNG — cannot be substituted by AI software; if anything, the buildout of AI data centers is a structural demand tailwind for the electricity and gas Shell supplies, and management explicitly frames AI as an 'enabler' for operational efficiency (predictive maintenance) rather than a threat [1][2]. No analyst commentary in research flagged AI substitution risk to Shell's core upstream, LNG, or refining businesses. AI Opportunity (0/1): Shell references selling energy and enabling technologies to AI data-center operators and using AI internally for predictive maintenance, but no specific AI-attributable revenue figure or percentage was disclosed in available research, so this is scored conservatively at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Shell plc Q2 2026 Earnings Release and Call — Revenue $94.7B (+45% YoY), Adjusted Earnings $9.8B, FCF $17.5B, Record Brazil Upstream Output, ~102% Refinery Utilization, $700M H1 2026 Structural Savings — Yahoo Finance, Offshore Technology, Investing.com, StockTitan, July-August 2026</w:t>
      </w:r>
    </w:p>
    <w:p>
      <w:pPr>
        <w:spacing w:before="20" w:after="20"/>
        <w:ind w:left="170"/>
      </w:pPr>
      <w:r>
        <w:rPr>
          <w:rFonts w:ascii="Calibri" w:hAnsi="Calibri"/>
          <w:b/>
          <w:color w:val="4A6B25"/>
          <w:sz w:val="15"/>
        </w:rPr>
        <w:t xml:space="preserve">2. </w:t>
      </w:r>
      <w:r>
        <w:rPr>
          <w:rFonts w:ascii="Calibri" w:hAnsi="Calibri"/>
          <w:b w:val="0"/>
          <w:color w:val="3A4A28"/>
          <w:sz w:val="17"/>
        </w:rPr>
        <w:t>Shell CEO Wael Sawan 'Simplification' Strategy, AI Predictive Maintenance and AI Data Center Positioning, Shell Foundation ClimaFii Alliance (with Accion, BFA Global, Upaya Social Ventures) — Bloomberg, CSIS, EnkiAI, shellfoundation.org, 2025-2026</w:t>
      </w:r>
    </w:p>
    <w:p>
      <w:pPr>
        <w:spacing w:before="20" w:after="20"/>
        <w:ind w:left="170"/>
      </w:pPr>
      <w:r>
        <w:rPr>
          <w:rFonts w:ascii="Calibri" w:hAnsi="Calibri"/>
          <w:b/>
          <w:color w:val="4A6B25"/>
          <w:sz w:val="15"/>
        </w:rPr>
        <w:t xml:space="preserve">3. </w:t>
      </w:r>
      <w:r>
        <w:rPr>
          <w:rFonts w:ascii="Calibri" w:hAnsi="Calibri"/>
          <w:b w:val="0"/>
          <w:color w:val="3A4A28"/>
          <w:sz w:val="17"/>
        </w:rPr>
        <w:t>Shell Climate Litigation — Milieudefensie New Case (April 2026) Demanding Halt to New Oil &amp; Gas Development, Pending Dutch Supreme Court Climate Case (May 2026 hearing) — ESG Today, Loyens &amp; Loeff, Lexology, 2026</w:t>
      </w:r>
    </w:p>
    <w:p>
      <w:pPr>
        <w:spacing w:before="20" w:after="20"/>
        <w:ind w:left="170"/>
      </w:pPr>
      <w:r>
        <w:rPr>
          <w:rFonts w:ascii="Calibri" w:hAnsi="Calibri"/>
          <w:b/>
          <w:color w:val="4A6B25"/>
          <w:sz w:val="15"/>
        </w:rPr>
        <w:t xml:space="preserve">4. </w:t>
      </w:r>
      <w:r>
        <w:rPr>
          <w:rFonts w:ascii="Calibri" w:hAnsi="Calibri"/>
          <w:b w:val="0"/>
          <w:color w:val="3A4A28"/>
          <w:sz w:val="17"/>
        </w:rPr>
        <w:t>Shell Financial Statistics — Forward P/E 9.02x, D/E ~40%, ROE 14.34%, Payout Ratio 45.43%, 5yr Revenue CAGR +8.36%, 5yr Dividend Growth CAGR +15.26%, Stock Price $93.33 (NYSE ADR) — StockAnalysis.com, ChartMill, WallStreetZen, MacroTrends,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