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SMCI</w:t>
      </w:r>
      <w:r>
        <w:rPr>
          <w:rFonts w:ascii="Calibri" w:hAnsi="Calibri"/>
          <w:b/>
          <w:color w:val="1A2010"/>
          <w:sz w:val="40"/>
        </w:rPr>
        <w:t xml:space="preserve">  Super Micro Computer, Inc.</w:t>
      </w:r>
    </w:p>
    <w:p>
      <w:pPr>
        <w:spacing w:after="120"/>
      </w:pPr>
      <w:r>
        <w:rPr>
          <w:rFonts w:ascii="Calibri" w:hAnsi="Calibri"/>
          <w:b/>
          <w:color w:val="6E8450"/>
          <w:sz w:val="18"/>
        </w:rPr>
        <w:t>GROWTH SLEEVE · 2026-08-11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Super Micro Computer (Supermicro) designs, develops, and manufactures high-performance server and storage solutions, specializing in AI-optimized data center infrastructure including liquid-cooled GPU server racks, Data Center Building Block Solutions (DCBBS), and complete rack-scale AI systems. Founded in 1993 by CEO Charles Liang, Supermicro has transformed from a niche server assembler into a major AI infrastructure provider, reporting Q3 FY2026 revenue of $10.24B (+123% YoY) and TTM revenue of $33.7B (+56% YoY). The company recorded $60B in new orders during Q4, driven by hyperscaler and enterprise AI demand. Supermicro faces ongoing governance scrutiny including a DOJ probe, prior SEC settlement ($17.5M in 2020), a Hindenburg Research short report, and federal indictments related to illegal server exports to China, though the independent special committee found no evidence of management misconduct.</w:t>
      </w:r>
    </w:p>
    <w:p>
      <w:r>
        <w:rPr>
          <w:rFonts w:ascii="Calibri" w:hAnsi="Calibri"/>
          <w:b/>
          <w:color w:val="6E8450"/>
          <w:sz w:val="18"/>
        </w:rPr>
        <w:t>7,500 Employees · https://www.supermicro.com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Supermicro has executed one of the most dramatic business transformations in recent tech history — revenue exploded from ~$5B in FY2023 to ~$40B projected for FY2026, driven by the company's early bet on liquid-cooled AI server infrastructure [1]. The Data Center Building Block Solutions (DCBBS) portfolio created a new category of modular, customizable AI data center infrastructure that enabled rapid deployment of NVIDIA GPU clusters at scale. Record $60B in new orders during Q4 FY2026 validates the transformation's commercial success. AI Deployment (2/2): Supermicro's entire business IS AI deployment — the company builds the physical server infrastructure that powers AI workloads for hyperscalers, enterprises, and sovereign AI programs globally. Liquid-cooled rack-scale systems directly address the thermal challenges of next-generation AI accelerators, and DCBBS solutions have been adopted by the largest AI infrastructure buyers [1]. Market Share (1/2): Supermicro gained significant market share in AI servers by moving faster than Dell and HPE on liquid cooling and rack-scale integration. However, Dell and HPE are rapidly closing the gap with their own liquid cooling solutions, investing billions in manufacturing capacity with supply chain scale advantages that pressure SMCI's thin-margin model [2]. Supermicro is a meaningful but not dominant player. Product Pipeline (1/2): Next-generation systems aligned with NVIDIA's Blackwell and Rubin platforms are in development, and the DCBBS portfolio continues expanding. However, Supermicro's product roadmap is inherently dependent on NVIDIA's cadence — the company does not define its own platform cycles [1]. R&amp;D Intensity (0/1): Supermicro's R&amp;D spending is below industry average relative to revenue — the company's value proposition is rapid integration and assembly rather than proprietary silicon or deep software development, which limits R&amp;D intensity relative to peers like Dell or HPE.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Supermicro's stated purpose centers on delivering 'Total IT Solutions' with an early commitment to 'green computing' focused on power efficiency [3]. While the green computing angle from the mid-2000s showed some foresight, the overall mission is generic and interchangeable with any server manufacturer. 'Total IT Solutions' does not articulate a deeper purpose or vision of a better future. Community Impact (0/2): No evidence of specific charitable programs, foundation activities, or community investment initiatives was identified in research. Employee Retention (0/2): No employee retention or tenure data was identified. The governance crisis in late 2024 — including potential Nasdaq delisting, auditor resignation (Ernst &amp; Young), and appointment of new auditor (BDO) — likely created significant organizational instability and employee uncertainty [2]. Insider Buying (0/2): No evidence of meaningful net insider buying. The Hindenburg Research report flagged 'sibling self-dealing' through related-party transactions with CEO Charles Liang's brothers' companies in Taiwan [2]. The family-centric governance structure with Liang's wife Sara Liu in senior roles raises alignment concerns rather than demonstrating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Supermicro's infrastructure score is driven by exceptional growth metrics and deep-value valuation despite thin margins. Forward P/E of 9.0 is well below the 20x target (scoring 1.0), and PEG of 0.31 is far below the 1.0 target (scoring 1.0 with 2x weight), reflecting the market's governance discount pricing in substantial risk [4]. Revenue growth YoY of 56% (TTM) and estimated 5yr revenue CAGR of ~59% both score 1.0, with the 5yr CAGR carrying 2x weight [1]. ROE of 17.88% exceeds the 15% target (scoring 1.0 with 2x weight). D/E of 121% is above the 70% target but well below the 300% floor (scoring 0.778). The major drag is profit margin of 3.7% against the 20% target, scoring only 0.185 — this reflects the fundamental weakness of Supermicro's assembly-focused business model, where margins have compressed from ~5% to 3.7% even as revenue tripled [1][4]. Liquidity floor easily cleared with estimated daily trading value exceeding $500M.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Supermicro presents a paradox under Sinek's framework: a 32-year-old founder-led company that has demonstrated remarkable longevity and adaptability, but whose governance practices, accounting history, and family-centric management structure conflict with the trust and transparency that infinite game players require. Charles Liang's continuous leadership since 1993 provides consistency that Sinek values, and the pivot to AI infrastructure shows strategic adaptability. However, the SEC settlement ($17.5M in 2020), DOJ probe, Hindenburg short report alleging accounting manipulation and sibling self-dealing, federal indictments for illegal server exports to China, and near-Nasdaq delisting in 2024 reveal governance practices fundamentally at odds with the ethical foundation Sinek requires for infinite game players. The company plays to win this cycle — maximizing AI server volume at thin margins — rather than building the enduring organizational trust that sustains companies across eras.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Supermicro's 'green computing' focus from the mid-2000s showed early vision — investing in power-efficient server design before energy efficiency was a market priority [3]. Charles Liang's 32-year tenure suggests personal commitment to the company beyond quarterly optimization. However, the company has never articulated a purpose beyond building better servers. The current AI infrastructure focus is an opportunistic response to market demand (NVIDIA's GPU platform) rather than a cause that existed before the AI boom. The governance crises — SEC settlements, DOJ probes, export violations — suggest the cause, to the extent one exists, has not been strong enough to constrain behavior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Supermicro's governance structure is antithetical to Sinek's Circle of Safety. CEO Charles Liang's wife Sara Liu holds senior roles, and related-party transactions with Liang's brothers' companies in Taiwan create a family-centric governance structure that undermines organizational trust for non-family employees [2]. The Hindenburg Research report specifically flagged 'sibling self-dealing.' The 2024 governance crisis — Ernst &amp; Young auditor resignation, potential Nasdaq delisting, DOJ probe — created severe organizational instability. Federal indictments of company-connected individuals for illegal server exports to China further erode trust. The special committee found no management misconduct, but the pattern of governance issues over decades (2020 SEC settlement, 2024 auditor resignation, 2026 DOJ probe) suggests structural trust deficits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Supermicro's competitive response to Dell and HPE closing the liquid cooling gap has been to accelerate innovation and expand the DCBBS portfolio rather than attack competitors [2]. The company's appointment of a Chief Revenue Officer to strengthen go-to-market execution reflects acknowledgment of competitors' sales and distribution advantages. Management commentary has focused on improving Supermicro's own time-to-market and customer service rather than denigrating rivals, consistent with the improvement-oriented mindset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Supermicro successfully pivoted from a generic server and storage vendor into the leading AI infrastructure assembler, riding NVIDIA's GPU platform to transform from ~$5B in FY2023 revenue to ~$40B projected for FY2026 [1]. The pivot to liquid-cooled AI racks and DCBBS solutions required substantial engineering investment and manufacturing retooling. However, the transformation followed market demand rather than anticipating it — Supermicro rode the NVIDIA wave rather than creating a new category. The pivot was opportunistic and well-executed, but it was market-driven rather than cause-driven.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Charles Liang has navigated the company through severe governance crises that would have destroyed most companies — the 2024 auditor resignation, Hindenburg short attack, potential Nasdaq delisting, and DOJ probe — emerging with the business intact and growing [2]. His early investment in liquid cooling technology before the AI boom demonstrated willingness to invest ahead of market demand. However, the governance crises themselves suggest that short-term decisions (accounting practices, export controls, related-party transactions) repeatedly compromised long-term institutional integrity. Surviving a crisis you helped create is resilience, not the proactive courage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Supermicro at $27 (9x forward earnings, 0.31 PEG) is arguably the cheapest pure-play on AI infrastructure buildout — Q3 FY2026 revenue of $10.24B (+123% YoY) and record $60B in new Q4 orders demonstrate the company is capturing disproportionate share of the AI data center investment cycle [1]. TTM revenue of $33.7B (+56% YoY) with ROE of 17.88% shows capital-efficient scaling. The Forward P/E of 9.0 and PEG of 0.31 embed a massive governance discount — the independent special committee found no evidence of management misconduct, and the company maintained its Nasdaq listing through the 2024 crisis [2]. Liquid-cooled rack-scale solutions and the DCBBS portfolio position Supermicro at the thermal engineering frontier as AI accelerator power density continues rising. The Inspire Impact Score of 44 (ALIGNED) supports faith-based investor allocation.</w:t>
      </w:r>
    </w:p>
    <w:p>
      <w:pPr>
        <w:spacing w:after="120"/>
      </w:pPr>
      <w:r>
        <w:rPr>
          <w:rFonts w:ascii="Calibri" w:hAnsi="Calibri"/>
          <w:b w:val="0"/>
          <w:color w:val="3A4A28"/>
          <w:sz w:val="20"/>
        </w:rPr>
        <w:t>The bear case centers on margin erosion, governance risk, and competitive convergence. Profit margin of 3.7% on $33.7B revenue generates only $1.25B in net income — Seeking Alpha characterizes this as 'explosive revenue growth, broken business model,' where volume growth is destroying margins rather than creating operating leverage [2]. Gross margins declined to 8.39% in Q3 2026, approaching commodity hardware territory. Dell and HPE are investing billions in liquid cooling capability and leverage supply chain scale advantages that Supermicro cannot match on component pricing. The DOJ probe into accounting irregularities, federal indictments for illegal server exports to China (involving 'dummy servers' to mask GPU shipments), and the Hindenburg report's allegations of 'accounting manipulation' and 'sibling self-dealing' create unresolved legal overhang that could resurface [2][3]. The stock's 46.87% decline over the past 52 weeks reflects the market pricing in these risks. Supermicro's overwhelming dependency on NVIDIA's product roadmap means any disruption to that relationship — or NVIDIA's own direct-to-customer infrastructure moves — could severely impact revenue. China competition and export control restrictions add geopolitical uncertainty. The assembly-focused model lacks proprietary technology moats, making Supermicro's market position potentially impermanent.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$60B in new Q4 FY2026 orders provides 1.5+ quarters of revenue visibility and validates sustained hyperscaler AI infrastructure demand, with potential to lift the stock if Q4 earnings (reporting August 11) confirm accelerating order-to-revenue conversion [1]</w:t>
      </w:r>
    </w:p>
    <w:p>
      <w:pPr>
        <w:spacing w:before="40" w:after="40"/>
        <w:ind w:left="283"/>
      </w:pPr>
      <w:r>
        <w:rPr>
          <w:rFonts w:ascii="Calibri" w:hAnsi="Calibri"/>
          <w:b/>
          <w:color w:val="4A6B25"/>
          <w:sz w:val="20"/>
        </w:rPr>
        <w:t xml:space="preserve">2. </w:t>
      </w:r>
      <w:r>
        <w:rPr>
          <w:rFonts w:ascii="Calibri" w:hAnsi="Calibri"/>
          <w:b w:val="0"/>
          <w:color w:val="3A4A28"/>
          <w:sz w:val="20"/>
        </w:rPr>
        <w:t>Forward P/E of 9.0x and PEG of 0.31 represent extreme value for a company growing revenue 56% YoY — resolution of the governance discount through DOJ investigation closure and continued clean audit opinions could trigger significant multiple expansion [4]</w:t>
      </w:r>
    </w:p>
    <w:p>
      <w:pPr>
        <w:spacing w:before="40" w:after="40"/>
        <w:ind w:left="283"/>
      </w:pPr>
      <w:r>
        <w:rPr>
          <w:rFonts w:ascii="Calibri" w:hAnsi="Calibri"/>
          <w:b/>
          <w:color w:val="4A6B25"/>
          <w:sz w:val="20"/>
        </w:rPr>
        <w:t xml:space="preserve">3. </w:t>
      </w:r>
      <w:r>
        <w:rPr>
          <w:rFonts w:ascii="Calibri" w:hAnsi="Calibri"/>
          <w:b w:val="0"/>
          <w:color w:val="3A4A28"/>
          <w:sz w:val="20"/>
        </w:rPr>
        <w:t>Next-generation NVIDIA Blackwell and Rubin platforms require increasingly sophisticated liquid cooling and power delivery solutions, deepening hyperscaler dependency on Supermicro's thermal engineering expertise and DCBBS modular deployment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compression from 5%+ to 3.7% despite tripling revenue suggests the assembly-focused model destroys margin at scale — Dell and HPE are closing the liquid cooling gap with superior supply chain scale, potentially commoditizing Supermicro's competitive advantage [2]</w:t>
      </w:r>
    </w:p>
    <w:p>
      <w:pPr>
        <w:spacing w:before="40" w:after="40"/>
        <w:ind w:left="283"/>
      </w:pPr>
      <w:r>
        <w:rPr>
          <w:rFonts w:ascii="Calibri" w:hAnsi="Calibri"/>
          <w:b/>
          <w:color w:val="4A6B25"/>
          <w:sz w:val="20"/>
        </w:rPr>
        <w:t xml:space="preserve">2. </w:t>
      </w:r>
      <w:r>
        <w:rPr>
          <w:rFonts w:ascii="Calibri" w:hAnsi="Calibri"/>
          <w:b w:val="0"/>
          <w:color w:val="3A4A28"/>
          <w:sz w:val="20"/>
        </w:rPr>
        <w:t>Active DOJ probe into accounting irregularities, federal indictments for illegal server exports to China via 'dummy servers,' and prior SEC settlement ($17.5M in 2020) create existential legal and regulatory risk that could result in fines, sanctions, or management changes [2][3]</w:t>
      </w:r>
    </w:p>
    <w:p>
      <w:pPr>
        <w:spacing w:before="40" w:after="40"/>
        <w:ind w:left="283"/>
      </w:pPr>
      <w:r>
        <w:rPr>
          <w:rFonts w:ascii="Calibri" w:hAnsi="Calibri"/>
          <w:b/>
          <w:color w:val="4A6B25"/>
          <w:sz w:val="20"/>
        </w:rPr>
        <w:t xml:space="preserve">3. </w:t>
      </w:r>
      <w:r>
        <w:rPr>
          <w:rFonts w:ascii="Calibri" w:hAnsi="Calibri"/>
          <w:b w:val="0"/>
          <w:color w:val="3A4A28"/>
          <w:sz w:val="20"/>
        </w:rPr>
        <w:t>Overwhelming dependency on NVIDIA's product roadmap and chip allocation decisions means any disruption to the NVIDIA relationship — including NVIDIA's own infrastructure expansion or alternative chip architectures gaining traction — could severely impact revenue and order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Supermicro IS AI infrastructure — the company builds the physical servers, liquid-cooled racks, and data center building blocks that AI workloads run on. By the framework's definition, a company that builds AI infrastructure cannot be disrupted by the technology it enables [1]. AI data centers require more of what Supermicro sells, not less — NVIDIA's next-generation accelerators demand increasingly sophisticated cooling and power delivery solutions that are Supermicro's core competency. The physical nature of server manufacturing, thermal engineering, and supply chain logistics creates structural barriers that software AI cannot displace. The risk vector is competitive rather than AI-disruption: Dell and HPE are investing billions to close the liquid cooling gap, and Supermicro's assembly-focused model lacks the proprietary silicon or deep software moats that would make its position unassailable [2]. AI Opportunity (1/1): Supermicro's entire $33.7B TTM revenue is AI-related or AI-adjacent. Record $60B in new orders during Q4 FY2026 are predominantly AI infrastructure orders [1]. The company is one of the primary enablers of the global AI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Super Micro Computer Q3 FY2026 Earnings — Revenue $10.24B (+123% YoY), TTM Revenue $33.7B, Net Income $483.4M, Record $60B New Orders Q4, FY2026 Target $33B+ — CNBC, StockTitan, Supermicro IR, May 2026</w:t>
      </w:r>
    </w:p>
    <w:p>
      <w:pPr>
        <w:spacing w:before="20" w:after="20"/>
        <w:ind w:left="170"/>
      </w:pPr>
      <w:r>
        <w:rPr>
          <w:rFonts w:ascii="Calibri" w:hAnsi="Calibri"/>
          <w:b/>
          <w:color w:val="4A6B25"/>
          <w:sz w:val="15"/>
        </w:rPr>
        <w:t xml:space="preserve">2. </w:t>
      </w:r>
      <w:r>
        <w:rPr>
          <w:rFonts w:ascii="Calibri" w:hAnsi="Calibri"/>
          <w:b w:val="0"/>
          <w:color w:val="3A4A28"/>
          <w:sz w:val="17"/>
        </w:rPr>
        <w:t>Super Micro Computer Governance and Competitive Analysis — DOJ Probe, Hindenburg Report, SEC Settlement, Illegal Export Indictments, Dell/HPE Competition, Near-Nasdaq Delisting — Motley Fool, Seeking Alpha, Investing.com, FX Leaders, 2024-2026</w:t>
      </w:r>
    </w:p>
    <w:p>
      <w:pPr>
        <w:spacing w:before="20" w:after="20"/>
        <w:ind w:left="170"/>
      </w:pPr>
      <w:r>
        <w:rPr>
          <w:rFonts w:ascii="Calibri" w:hAnsi="Calibri"/>
          <w:b/>
          <w:color w:val="4A6B25"/>
          <w:sz w:val="15"/>
        </w:rPr>
        <w:t xml:space="preserve">3. </w:t>
      </w:r>
      <w:r>
        <w:rPr>
          <w:rFonts w:ascii="Calibri" w:hAnsi="Calibri"/>
          <w:b w:val="0"/>
          <w:color w:val="3A4A28"/>
          <w:sz w:val="17"/>
        </w:rPr>
        <w:t>Super Micro Computer ESG Profile — Green Computing History, Active Investigations, Governance Crisis, Export Control Scrutiny — Yahoo Finance, Sustainalytics, MarketScreener, FinancialContent, 2020-2026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SMCI Key Statistics: Forward P/E 9.0, PEG 0.31, D/E 121%, ROE 17.88%, Profit Margin 3.7%, Stock Price ~$27,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