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SNDR</w:t>
      </w:r>
      <w:r>
        <w:rPr>
          <w:rFonts w:ascii="Calibri" w:hAnsi="Calibri"/>
          <w:b/>
          <w:color w:val="1A2010"/>
          <w:sz w:val="40"/>
        </w:rPr>
        <w:t xml:space="preserve">  Schneider National, Inc.</w:t>
      </w:r>
    </w:p>
    <w:p>
      <w:pPr>
        <w:spacing w:after="120"/>
      </w:pPr>
      <w:r>
        <w:rPr>
          <w:rFonts w:ascii="Calibri" w:hAnsi="Calibri"/>
          <w:b/>
          <w:color w:val="6E8450"/>
          <w:sz w:val="18"/>
        </w:rPr>
        <w:t>GROWTH SLEEVE · 2026-08-10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Trucking · NYSE · United States</w:t>
      </w:r>
    </w:p>
    <w:p>
      <w:pPr>
        <w:spacing w:after="80"/>
      </w:pPr>
      <w:r>
        <w:rPr>
          <w:rFonts w:ascii="Calibri" w:hAnsi="Calibri"/>
          <w:b w:val="0"/>
          <w:color w:val="3A4A28"/>
          <w:sz w:val="20"/>
        </w:rPr>
        <w:t>Schneider National, Inc. is a leading transportation and logistics services company operating through three segments: Truckload, Intermodal, and Logistics. Founded in 1935 and headquartered in Green Bay, Wisconsin, the company operates a fleet of approximately 12,200 trucks and provides freight brokerage, dedicated fleet, and supply chain management services across North America. IPO in 2017; only five CEOs in its 91-year history.</w:t>
      </w:r>
    </w:p>
    <w:p>
      <w:r>
        <w:rPr>
          <w:rFonts w:ascii="Calibri" w:hAnsi="Calibri"/>
          <w:b/>
          <w:color w:val="6E8450"/>
          <w:sz w:val="18"/>
        </w:rPr>
        <w:t>15,000 Employees · https://schneider.com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Schneider has expanded its intermodal and logistics segments and invested in battery electric vehicles for its fleet, but these represent incremental extensions rather than transformative business model pivots over the past five years [1][4]. AI Deployment (1/2): New CEO Jim Filter has prioritized AI and autonomous vehicle technology, and the company uses AI-driven fleet optimization and routing tools across its 12,200-truck fleet, though no specific cost savings or revenue gains have been quantified publicly [2]. Market Share (1/2): Schneider is a top-10 U.S. truckload carrier with meaningful intermodal presence, but operates in a highly fragmented market with no dominant share position [1]. Product Pipeline (1/2): Investments in autonomous trucking technology and EV fleet expansion are underway, with Filter outlining focus on both organic and inorganic growth, but timelines and revenue visibility are general rather than specific [2]. R&amp;D Intensity (0/1): Transportation companies operate well below average R&amp;D intensity relative to other sectors; Schneider's technology investments are primarily capex-driven rather than R&amp;D-driven.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Schneider's purpose centers on safely delivering goods and enabling supply chains, which is clear and functional but not distinctive — interchangeable with most major carriers. The mission identifies what the company does without articulating a deeper cause beyond operational excellence. Community Impact (1/2): The company's Corporate Responsibility Report highlights commitments to reducing GHG emissions, workforce diversity, and community reinvestment, with specific battery electric fleet investments and associate programs recognized by third parties [4]. Employee Retention (1/2): Schneider holds Great Place to Work certification, which requires employee survey validation of workplace quality, suggesting above-average trust and satisfaction for the trucking industry where driver retention is a persistent challenge [5]. Insider Buying (0/2): EVP Thomas Jackson sold $891K in shares in August 2026, and no notable insider purchases were identified in the last 12 months [6]. Net insider selling undermines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Schneider delivered Q2 2026 revenue of $1.57B, up 10.4% YoY, with adjusted EPS of $0.29, up 38.1% from the prior year [1]. Management raised full-year 2026 EPS guidance to $0.90-$1.10 from $0.70-$1.00 [1]. The balance sheet is exceptionally clean with D/E of just 13%, earning a perfect score on leverage. However, profitability remains thin at 1.73% net margin and 3.26% ROE, reflecting the capital-intensive, low-margin nature of trucking [3]. Forward P/E of 35.8x is elevated given the cyclical recovery, and 5-year revenue CAGR is approximately 1%, dragged down by the 2023-2024 freight recession. Logistics income surged 53% YoY in Q2 2026 but remains small relative to total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Schneider National's 91-year history and extraordinary leadership stability — only five CEOs since 1935 — demonstrate genuine long-term orientation uncommon in the trucking industry. The company plays to endure rather than maximize quarterly results, evidenced by sustained investments in intermodal capacity and technology during the brutal 2023-2024 freight recession. However, the absence of a compelling Just Cause beyond operational excellence limits Sinek's full endorsement.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Schneider's purpose is functional rather than inspirational — delivering goods safely and reliably. While this is a legitimate and important function, it doesn't describe a future state so appealing that people sacrifice to advance it. The 91-year history demonstrates endurance but the cause is interchangeable with any major carrier. Leadership references operational excellence and shareholder value rather than a distinctive vision of a better world [4].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Only five CEOs in 91 years signals extraordinary organizational trust and leadership continuity that is virtually unmatched in any industry. Schneider holds Great Place to Work certification, requiring positive employee survey responses on trust, pride, and camaraderie [5]. In the trucking industry — notorious for high turnover and driver dissatisfaction — achieving this certification demonstrates that Schneider has built a Circle of Safety well above the norm. The recent CEO transition to Jim Filter was smooth and planned, not disruptive.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that Schneider frames competition as an opportunity for self-improvement. The company's competitive language under the new CEO focuses on growth, efficiency, and market share gains — standard finite competitive framing. No management commentary identified that acknowledges learning from rivals like J.B. Hunt, XPO, or Werner.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Schneider has evolved meaningfully from its pure truckload origins, building substantial intermodal and logistics/brokerage businesses that now represent significant revenue diversification. The intermodal segment leverages rail partnerships to offer lower-cost alternatives, and the logistics segment provides asset-light brokerage [1]. These expansions were incremental rather than transformative — the company didn't abandon its core identity, but it did adapt to changing market dynamics over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Schneider invested in battery electric vehicles and technology infrastructure during the 2023-2024 freight recession, maintaining capital discipline while competitors pulled back [4]. The decision to reduce net capex guidance to $350-400M from $400-450M in 2026 while raising EPS guidance demonstrates pragmatic capital allocation. New CEO Filter's public emphasis on autonomous vehicles and AI represents a directional bet for a traditional trucking company, though the financial magnitude of these investments remains modest relative to fleet expenditures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Schneider National is executing a solid cyclical recovery, with Q2 2026 revenue up 10.4% to $1.57B and adjusted EPS of $0.29, beating estimates by 31.8% [1]. Management raised full-year guidance to $0.90-$1.10 EPS while reducing capex, signaling improving profitability and capital efficiency. The balance sheet is pristine at 13% D/E, providing dry powder for new CEO Jim Filter's stated focus on organic and inorganic growth, technology adoption, and autonomous vehicle investment. Logistics income surged 53% YoY, suggesting the higher-margin brokerage business is inflecting as freight markets recover.</w:t>
      </w:r>
    </w:p>
    <w:p>
      <w:pPr>
        <w:spacing w:after="120"/>
      </w:pPr>
      <w:r>
        <w:rPr>
          <w:rFonts w:ascii="Calibri" w:hAnsi="Calibri"/>
          <w:b w:val="0"/>
          <w:color w:val="3A4A28"/>
          <w:sz w:val="20"/>
        </w:rPr>
        <w:t>The primary concern is valuation relative to underlying profitability. At 35.8x forward earnings and 1.73% net margin, Schneider is priced for a full freight cycle recovery that may not materialize if tariff uncertainty or economic deceleration dampens freight volumes. The 5-year revenue CAGR of approximately 1% reflects the deep cyclicality of trucking — the 2023-2024 freight recession erased the 2021-2022 gains [3]. ROE of just 3.26% is well below cost of capital, and even at the raised guidance midpoint of $1.00 EPS, returns remain modest for the capital intensity of the business. Autonomous trucking disruption represents a double-edged sword — Schneider is investing but could face massive fleet value impairment if the technology commoditizes faster than expected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freight market recovery driving pricing and utilization improvements, with Q2 2026 showing 10.4% revenue growth and 29% adjusted operating income growth as excess capacity exits the market</w:t>
      </w:r>
    </w:p>
    <w:p>
      <w:pPr>
        <w:spacing w:before="40" w:after="40"/>
        <w:ind w:left="283"/>
      </w:pPr>
      <w:r>
        <w:rPr>
          <w:rFonts w:ascii="Calibri" w:hAnsi="Calibri"/>
          <w:b/>
          <w:color w:val="4A6B25"/>
          <w:sz w:val="20"/>
        </w:rPr>
        <w:t xml:space="preserve">2. </w:t>
      </w:r>
      <w:r>
        <w:rPr>
          <w:rFonts w:ascii="Calibri" w:hAnsi="Calibri"/>
          <w:b w:val="0"/>
          <w:color w:val="3A4A28"/>
          <w:sz w:val="20"/>
        </w:rPr>
        <w:t>New CEO Jim Filter executing on technology and M&amp;A strategy, potentially accelerating growth through acquisitions in the logistics/brokerage space during industry consolidation</w:t>
      </w:r>
    </w:p>
    <w:p>
      <w:pPr>
        <w:spacing w:before="40" w:after="40"/>
        <w:ind w:left="283"/>
      </w:pPr>
      <w:r>
        <w:rPr>
          <w:rFonts w:ascii="Calibri" w:hAnsi="Calibri"/>
          <w:b/>
          <w:color w:val="4A6B25"/>
          <w:sz w:val="20"/>
        </w:rPr>
        <w:t xml:space="preserve">3. </w:t>
      </w:r>
      <w:r>
        <w:rPr>
          <w:rFonts w:ascii="Calibri" w:hAnsi="Calibri"/>
          <w:b w:val="0"/>
          <w:color w:val="3A4A28"/>
          <w:sz w:val="20"/>
        </w:rPr>
        <w:t>Logistics segment margin expansion as digital freight matching and AI-driven optimization scale across the brokerage platform, with Q2 income already up 53% YoY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35.8x prices in a full cyclical recovery, leaving significant downside if freight volumes stall due to tariff disruptions, consumer spending deceleration, or industrial production weakness</w:t>
      </w:r>
    </w:p>
    <w:p>
      <w:pPr>
        <w:spacing w:before="40" w:after="40"/>
        <w:ind w:left="283"/>
      </w:pPr>
      <w:r>
        <w:rPr>
          <w:rFonts w:ascii="Calibri" w:hAnsi="Calibri"/>
          <w:b/>
          <w:color w:val="4A6B25"/>
          <w:sz w:val="20"/>
        </w:rPr>
        <w:t xml:space="preserve">2. </w:t>
      </w:r>
      <w:r>
        <w:rPr>
          <w:rFonts w:ascii="Calibri" w:hAnsi="Calibri"/>
          <w:b w:val="0"/>
          <w:color w:val="3A4A28"/>
          <w:sz w:val="20"/>
        </w:rPr>
        <w:t>Net margin of 1.73% and ROE of 3.26% reflect structurally thin profitability for a capital-intensive trucking business, raising questions about whether the company earns its cost of capital across a full cycle</w:t>
      </w:r>
    </w:p>
    <w:p>
      <w:pPr>
        <w:spacing w:before="40" w:after="40"/>
        <w:ind w:left="283"/>
      </w:pPr>
      <w:r>
        <w:rPr>
          <w:rFonts w:ascii="Calibri" w:hAnsi="Calibri"/>
          <w:b/>
          <w:color w:val="4A6B25"/>
          <w:sz w:val="20"/>
        </w:rPr>
        <w:t xml:space="preserve">3. </w:t>
      </w:r>
      <w:r>
        <w:rPr>
          <w:rFonts w:ascii="Calibri" w:hAnsi="Calibri"/>
          <w:b w:val="0"/>
          <w:color w:val="3A4A28"/>
          <w:sz w:val="20"/>
        </w:rPr>
        <w:t>Autonomous trucking technology could commoditize long-haul freight within 5-10 years, potentially stranding fleet asset values and disrupting Schneider's truckload segment which generates the majority of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Schneider's core business is moving physical freight via truck and intermodal rail — operations that AI structurally cannot substitute. The 12,200-truck fleet, driver network, and intermodal terminal infrastructure require physical-world capabilities beyond AI's reach [1]. However, the logistics brokerage segment faces moderate disruption risk from AI-powered digital freight matching platforms (Convoy, Uber Freight, etc.) that could compress margins in the intermediary business. Autonomous trucking technology represents both a long-term risk (if competitors adopt first) and opportunity (Schneider is actively investing under CEO Filter's technology mandate) [2]. AI Opportunity (0/1): Schneider uses AI internally for fleet optimization and routing but does not generate quantifiable revenue from AI products or services. AI is a cost management tool, not a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Schneider National Q2 2026 Earnings Release — BusinessWire, July 29, 2026</w:t>
      </w:r>
    </w:p>
    <w:p>
      <w:pPr>
        <w:spacing w:before="20" w:after="20"/>
        <w:ind w:left="170"/>
      </w:pPr>
      <w:r>
        <w:rPr>
          <w:rFonts w:ascii="Calibri" w:hAnsi="Calibri"/>
          <w:b/>
          <w:color w:val="4A6B25"/>
          <w:sz w:val="15"/>
        </w:rPr>
        <w:t xml:space="preserve">2. </w:t>
      </w:r>
      <w:r>
        <w:rPr>
          <w:rFonts w:ascii="Calibri" w:hAnsi="Calibri"/>
          <w:b w:val="0"/>
          <w:color w:val="3A4A28"/>
          <w:sz w:val="17"/>
        </w:rPr>
        <w:t>Schneider National CEO Jim Filter Leadership and Technology Strategy — Investing.com, Simply Wall 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SNDR Key Statistics and Valuation Metrics,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Schneider National Corporate Responsibility Report and ESG Disclosures, 2025</w:t>
      </w:r>
    </w:p>
    <w:p>
      <w:pPr>
        <w:spacing w:before="20" w:after="20"/>
        <w:ind w:left="170"/>
      </w:pPr>
      <w:r>
        <w:rPr>
          <w:rFonts w:ascii="Calibri" w:hAnsi="Calibri"/>
          <w:b/>
          <w:color w:val="4A6B25"/>
          <w:sz w:val="15"/>
        </w:rPr>
        <w:t xml:space="preserve">5. </w:t>
      </w:r>
      <w:r>
        <w:rPr>
          <w:rFonts w:ascii="Calibri" w:hAnsi="Calibri"/>
          <w:b w:val="0"/>
          <w:color w:val="3A4A28"/>
          <w:sz w:val="17"/>
        </w:rPr>
        <w:t>Great Place to Work — Schneider National Certification,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SNDR Insider Transactions and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