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STAG</w:t>
      </w:r>
      <w:r>
        <w:rPr>
          <w:rFonts w:ascii="Calibri" w:hAnsi="Calibri"/>
          <w:b/>
          <w:color w:val="1A2010"/>
          <w:sz w:val="40"/>
        </w:rPr>
        <w:t xml:space="preserve">  STAG Industrial, Inc.</w:t>
      </w:r>
    </w:p>
    <w:p>
      <w:pPr>
        <w:spacing w:after="120"/>
      </w:pPr>
      <w:r>
        <w:rPr>
          <w:rFonts w:ascii="Calibri" w:hAnsi="Calibri"/>
          <w:b/>
          <w:color w:val="6E8450"/>
          <w:sz w:val="18"/>
        </w:rPr>
        <w:t>DIVIDEND SLEEVE · 2026-07-29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STAG Industrial is a real estate investment trust focused on the acquisition, development, ownership, and operation of single-tenant industrial properties throughout the United States. The portfolio consists of approximately 601 buildings in 41 states with approximately 120 million rentable square feet, serving logistics, e-commerce, and light manufacturing tenants. The company recently transitioned from monthly to quarterly dividend distributions and achieved Core FFO per diluted share of $0.65 in Q2 2026.</w:t>
      </w:r>
    </w:p>
    <w:p>
      <w:r>
        <w:rPr>
          <w:rFonts w:ascii="Calibri" w:hAnsi="Calibri"/>
          <w:b/>
          <w:color w:val="6E8450"/>
          <w:sz w:val="18"/>
        </w:rPr>
        <w:t>91 Employees · https://www.stagindustrial.com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STAG has grown its portfolio to 601 buildings across 41 states through disciplined acquisition, with 2025 revenue of $845M growing 10.1% YoY and 2025 earnings of $273M rising 44.6% [1]. However, the growth strategy is replication-based — acquiring single-tenant industrial properties at attractive cap rates — rather than transformative innovation. No new product categories or business model pivots in the last five years. AI Deployment (0/2): No evidence of AI-powered products, AI-driven operational savings, or meaningful AI strategy. STAG operates a traditional industrial REIT model focused on property acquisition, leasing, and management without disclosed AI initiatives. Market Share (1/2): STAG is a meaningful player in the single-tenant industrial REIT space with a $7.2B market cap and 120M square feet across 41 states, but competes against much larger peers like Prologis ($120B+ market cap) without category leadership [1][3]. Product Pipeline (1/2): The Dallas development project and emerging data center-related demand represent new growth avenues, with Q1 2026 revenue rising to $224.2M (up 9%) and same-store NOI growth guided at 3.5% for 2026 [1][3]. However, no next-generation developments with specific revenue visibility have been announced. R&amp;D Intensity (0/1): REITs do not typically engage in R&amp;D spending; STAG's investment is in property-level improvements and data-driven acquisition underwriting,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STAG's purpose focuses on providing high-quality industrial real estate solutions for single-tenant users — clear and functional but not distinctive or inspiring beyond operational scope [3]. The company serves the American industrial economy through warehousing, logistics, and manufacturing space, but the mission does not articulate a deeper societal vision. Community Impact (1/2): STAG maintains the STAG Charitable Action Fund and operates the largest rooftop community solar project in the country, demonstrating genuine community investment beyond pure profit optimization for a 91-person company [4]. Employee Retention (1/2): With only 91 employees managing a 601-building portfolio across 41 states, STAG operates with exceptional efficiency that implies high trust and empowerment [3]. COO Steven Kimball brings 25+ years of Prologis/PGIM and STAG experience, indicating leadership continuity and deep institutional knowledge. Insider Buying (0/2): Net insider selling in recent quarters — CEO Crooker sold shares and EVP Pinard sold approximately $1M following the Q2 2026 earnings beat, suggesting profit-taking rather than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D/E of 90% scores 0.91, moderate leverage well-managed for the asset-heavy REIT model [5]. ROE of 7.17% scores 0.48, typical for equity REITs where depreciation depresses GAAP earnings relative to cash flow generation. Revenue growth YoY of 10.1% scores 1.0, driven by acquisitions and leasing activity [1]. Revenue growth 5yr CAGR of 11.6% scores 1.0, reflecting consistent portfolio expansion [1]. Forward P/E of 32.83 scores 0.68, elevated due to REIT-specific GAAP distortions (FFO-based valuation of $38.78/$2.60 = 14.9x is more representative) [2][5]. Profit margin of 29.26% scores 1.0, strong for a REIT [5]. Payout ratio of 97.2% scores 0.05, near 100% of GAAP earnings though adequately covered by FFO/AFFO [5]. Consecutive years paid of 15 scores 1.0 (2x weight) — uninterrupted since 2011 IPO [5]. Consecutive years growth of 8 scores 0.80, reflecting gradual dividend increases since 2018 [5]. 5yr dividend growth CAGR of 0.52% scores 0.09 (2x weight), essentially flat growth barely visible against inflation [5]. Weighted sum 8.09/12, Infrastructure 7/10. Liquidity floor cleared: 1.29M avg volume x $38.78 = $50.0M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STAG Industrial operates with steady, long-horizon capital allocation appropriate for a REIT — 15 consecutive years of dividends and measured portfolio expansion across 41 states demonstrate patient investing. However, the company lacks a transformative Just Cause beyond 'own good industrial buildings,' the near-flat dividend growth (0.52% 5yr CAGR) signals prioritizing payout stability over compounding value, and the business model has remained essentially unchanged since its 2011 IPO. Sinek would classify this as a well-managed finite player optimizing a proven formula.</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STAG's purpose is functional — provide high-quality single-tenant industrial space to American businesses [3]. This serves a genuine economic need (logistics, manufacturing, e-commerce fulfillment infrastructure) but lacks the idealism and transformative vision Sinek requires for a true Just Cause. The company exists to generate stable rental income for shareholders, not to advance a vision of a better future. The evolution toward data center-adjacent opportunities shows commercial awareness but not mission-driven flexibility.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STAG's 91-person team managing 601 buildings across 41 states implies exceptional efficiency, empowerment, and trust [3]. COO Kimball's 25+ years of Prologis/PGIM and STAG experience and the STAG Charitable Action Fund suggest a collaborative, values-oriented culture. The transition from monthly to quarterly dividends was communicated transparently with a dividend increase to offset investor concerns [2]. However, no specific evidence of employee survey data, psychological safety metrics, or exceptional trust practices exists for this small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STAG competes alongside Prologis, Duke Realty (acquired by Prologis), and other industrial REITs but focuses productively on its niche — single-tenant, diversified industrial properties in secondary markets [1]. The company's competitive language focuses on disciplined acquisition and operational excellence within its defined lane, not on defeating larger rivals. The Board includes a member focused on disruptive technologies, showing awareness of competitive evolution.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STAG has operated the same single-tenant industrial REIT model since its 2011 IPO with no transformative pivot or reinvention [1]. The company has grown incrementally — expanding from secondary markets, growing from IPO to 601 buildings — but the core business model of acquire, own, and lease industrial properties has not changed. Emerging interest in data center-related demand is opportunistic adjacency, not existential flexibility. No evidence of willingness to abandon the current model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STAG maintained uninterrupted dividend payments through COVID-19, rising interest rates, and multiple market disruptions, demonstrating commitment to long-term shareholder trust [1]. The decision to focus on single-tenant properties when peers pursued larger multi-tenant portfolios showed strategic conviction. The new Dallas development project and dividend structure transition (monthly to quarterly with increase to $1.55/share) show measured boldness [2]. However, near-flat dividend growth and conservative acquisition posture suggest risk aversion over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STAG Industrial offers a reliable 3.95% dividend yield backed by a 601-building portfolio of single-tenant industrial properties diversified across 41 states with 120M rentable square feet [1]. Revenue grew 10.1% YoY to $845M in 2025 with earnings up 44.6%, and Q2 2026 Core FFO per diluted share of $0.65 grew 3.2% YoY [1][2]. The industrial REIT sector benefits from secular tailwinds in e-commerce fulfillment, reshoring, and AI-driven logistics demand that support occupancy and rental rate growth. STAG's Inspire score of 58 (ALIGNED) with 13 positive attributions and zero negative makes it one of the strongest faith-aligned names in industrial real estate. The recent dividend increase to $1.55/share annual rate signals management confidence [2].</w:t>
      </w:r>
    </w:p>
    <w:p>
      <w:pPr>
        <w:spacing w:after="120"/>
      </w:pPr>
      <w:r>
        <w:rPr>
          <w:rFonts w:ascii="Calibri" w:hAnsi="Calibri"/>
          <w:b w:val="0"/>
          <w:color w:val="3A4A28"/>
          <w:sz w:val="20"/>
        </w:rPr>
        <w:t>The bear case centers on stagnant dividend growth and REIT structural limitations. The dividend has grown just 0.52% annually over 5 years — effectively zero in real terms — meaning purchasing power erodes over time despite the attractive 3.95% headline yield [5]. The payout ratio near 100% of GAAP earnings (though covered by FFO/AFFO) leaves minimal margin of safety if occupancy declines or cap rates expand in a sustained higher-rate environment. Forward P/E of 32.83 overstates valuation concerns (P/FFO of ~14.9x is more representative), but ROE of 7.17% reflects the capital-intensive nature of the business and limits total return potential [5]. STAG's single-tenant focus creates binary occupancy risk — when a tenant vacates, the entire building produces zero revenue until re-leased. Same-store NOI growth guidance of 3.5% for 2026 (down from 4.0-4.25% in 2025) suggests decelerating organic momentum. Rising interest rates increase borrowing costs for the acquisition-driven growth model that underpins portfolio expansion [5]. Net insider selling by CEO and senior executives is a cautionary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demand growth from e-commerce fulfillment automation, data center expansion, and manufacturing reshoring driving occupancy, rental rate increases, and tenant demand across STAG's 120M sq ft portfolio [1][3]</w:t>
      </w:r>
    </w:p>
    <w:p>
      <w:pPr>
        <w:spacing w:before="40" w:after="40"/>
        <w:ind w:left="283"/>
      </w:pPr>
      <w:r>
        <w:rPr>
          <w:rFonts w:ascii="Calibri" w:hAnsi="Calibri"/>
          <w:b/>
          <w:color w:val="4A6B25"/>
          <w:sz w:val="20"/>
        </w:rPr>
        <w:t xml:space="preserve">2. </w:t>
      </w:r>
      <w:r>
        <w:rPr>
          <w:rFonts w:ascii="Calibri" w:hAnsi="Calibri"/>
          <w:b w:val="0"/>
          <w:color w:val="3A4A28"/>
          <w:sz w:val="20"/>
        </w:rPr>
        <w:t>Dividend increase from $1.49 to $1.55/share annual rate alongside the monthly-to-quarterly distribution transition demonstrates management confidence and potential inflection in dividend growth trajectory [2]</w:t>
      </w:r>
    </w:p>
    <w:p>
      <w:pPr>
        <w:spacing w:before="40" w:after="40"/>
        <w:ind w:left="283"/>
      </w:pPr>
      <w:r>
        <w:rPr>
          <w:rFonts w:ascii="Calibri" w:hAnsi="Calibri"/>
          <w:b/>
          <w:color w:val="4A6B25"/>
          <w:sz w:val="20"/>
        </w:rPr>
        <w:t xml:space="preserve">3. </w:t>
      </w:r>
      <w:r>
        <w:rPr>
          <w:rFonts w:ascii="Calibri" w:hAnsi="Calibri"/>
          <w:b w:val="0"/>
          <w:color w:val="3A4A28"/>
          <w:sz w:val="20"/>
        </w:rPr>
        <w:t>New development pipeline including the Dallas project and data center-adjacent opportunities could drive higher-return growth beyond the acquisition-only model, with COO Kimball's operational scalability mandate as a catalyst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Near-zero dividend growth (0.52% 5yr CAGR) erodes real purchasing power for income investors — if same-store NOI growth decelerates to 3.5% and interest rates remain elevated, dividend growth may remain stagnant indefinitely [5]</w:t>
      </w:r>
    </w:p>
    <w:p>
      <w:pPr>
        <w:spacing w:before="40" w:after="40"/>
        <w:ind w:left="283"/>
      </w:pPr>
      <w:r>
        <w:rPr>
          <w:rFonts w:ascii="Calibri" w:hAnsi="Calibri"/>
          <w:b/>
          <w:color w:val="4A6B25"/>
          <w:sz w:val="20"/>
        </w:rPr>
        <w:t xml:space="preserve">2. </w:t>
      </w:r>
      <w:r>
        <w:rPr>
          <w:rFonts w:ascii="Calibri" w:hAnsi="Calibri"/>
          <w:b w:val="0"/>
          <w:color w:val="3A4A28"/>
          <w:sz w:val="20"/>
        </w:rPr>
        <w:t>Single-tenant industrial lease structure creates binary vacancy risk — when a tenant vacates, revenue from that building drops to zero until re-leased, with 601 single-tenant buildings each representing an individual credit risk [1]</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by CEO and senior executives following the Q2 2026 earnings beat, combined with 97% payout ratio and $3.1B in debt against $34M cash, raises concerns about balance sheet flexibility in a rising-rate environment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STAG's core business — owning and leasing physical industrial buildings — is structurally immune to AI disruption [1]. AI cannot replace warehouses, logistics facilities, manufacturing space, or the 120 million square feet of industrial real estate across 41 states. In fact, AI adoption by tenants accelerates demand for industrial space: e-commerce fulfillment automation requires more warehouse square footage per unit processed, data center expansion drives demand for industrial land, and reshoring of manufacturing creates new tenant demand. Analysts see zero substitution risk for industrial REITs from AI; the sector is a direct beneficiary of the AI infrastructure buildout [3]. AI Opportunity (0/1): STAG does not generate revenue from AI products or services. The company is a passive beneficiary of AI-driven demand for industrial space rather than an active AI revenue generator — no AI products are sold to tenants or used to generate quantifiable AI-specific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STAG Industrial FY2025 and Q1 2026 Earnings Release — $845M revenue (up 10.1%), $273M earnings (up 44.6%), Q1 revenue $224.2M, April 2026</w:t>
      </w:r>
    </w:p>
    <w:p>
      <w:pPr>
        <w:spacing w:before="20" w:after="20"/>
        <w:ind w:left="170"/>
      </w:pPr>
      <w:r>
        <w:rPr>
          <w:rFonts w:ascii="Calibri" w:hAnsi="Calibri"/>
          <w:b/>
          <w:color w:val="4A6B25"/>
          <w:sz w:val="15"/>
        </w:rPr>
        <w:t xml:space="preserve">2. </w:t>
      </w:r>
      <w:r>
        <w:rPr>
          <w:rFonts w:ascii="Calibri" w:hAnsi="Calibri"/>
          <w:b w:val="0"/>
          <w:color w:val="3A4A28"/>
          <w:sz w:val="17"/>
        </w:rPr>
        <w:t>STAG Industrial Q2 2026 Earnings Release — Core FFO $0.65/share (up 3.2%), Dividend Increase to $1.55 Annual Rate, Quarterly Distribution Transition, July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STAG Industrial's Growth Outpaces Its Multiple; AInvest — Leadership Upgrade and Operational Scalability Analysis, 2026</w:t>
      </w:r>
    </w:p>
    <w:p>
      <w:pPr>
        <w:spacing w:before="20" w:after="20"/>
        <w:ind w:left="170"/>
      </w:pPr>
      <w:r>
        <w:rPr>
          <w:rFonts w:ascii="Calibri" w:hAnsi="Calibri"/>
          <w:b/>
          <w:color w:val="4A6B25"/>
          <w:sz w:val="15"/>
        </w:rPr>
        <w:t xml:space="preserve">4. </w:t>
      </w:r>
      <w:r>
        <w:rPr>
          <w:rFonts w:ascii="Calibri" w:hAnsi="Calibri"/>
          <w:b w:val="0"/>
          <w:color w:val="3A4A28"/>
          <w:sz w:val="17"/>
        </w:rPr>
        <w:t>STAG Industrial 2023 Sustainability Report — Charitable Action Fund, Largest Rooftop Community Solar Project, April 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 GuruFocus — STAG Statistics, Valuation, Dividend History, and Insider Trading Activity,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