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STEP</w:t>
      </w:r>
      <w:r>
        <w:rPr>
          <w:rFonts w:ascii="Calibri" w:hAnsi="Calibri"/>
          <w:b/>
          <w:color w:val="1A2010"/>
          <w:sz w:val="40"/>
        </w:rPr>
        <w:t xml:space="preserve">  StepStone Group Inc.</w:t>
      </w:r>
    </w:p>
    <w:p>
      <w:pPr>
        <w:spacing w:after="120"/>
      </w:pPr>
      <w:r>
        <w:rPr>
          <w:rFonts w:ascii="Calibri" w:hAnsi="Calibri"/>
          <w:b/>
          <w:color w:val="6E8450"/>
          <w:sz w:val="18"/>
        </w:rPr>
        <w:t>DIVIDEND SLEEVE · 2026-08-05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StepStone Group is a global private markets investment solutions firm providing customized advisory, data analytics, and fund management services across private equity, real estate, infrastructure, and private debt. As of March 31, 2026, the firm had $233.3 billion in assets under management and $651.8 billion in assets under advisement, bringing total capital responsibility to $885.2 billion. Founded in 2007 and headquartered in New York, StepStone went public in September 2020 and serves institutional investors including pensions, sovereigns, endowments, and family offices.</w:t>
      </w:r>
    </w:p>
    <w:p>
      <w:r>
        <w:rPr>
          <w:rFonts w:ascii="Calibri" w:hAnsi="Calibri"/>
          <w:b/>
          <w:color w:val="6E8450"/>
          <w:sz w:val="18"/>
        </w:rPr>
        <w:t>850 Employees · https://www.stepstonegroup.com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StepStone has grown from a mid-size advisory firm to $233B AUM and $885B in total capital responsibility, expanding across PE, infrastructure, real estate, and private debt while building a private wealth channel that represents a significant strategic expansion [1]. The AUM growth trajectory and asset class diversification represent a meaningful evolution, though the core advisory model remains unchanged. AI Deployment (1/2): StepStone employs data analytics extensively — CEO Scott Hart describes the firm as 'data-driven' with proprietary analytics informing investment decisions [3]. The firm uses a digital assistant for candidate processing, but no AI products generating quantifiable external revenue have been disclosed. Market Share (1/2): With $885B in total capital responsibility, StepStone is a meaningful player in the private markets advisory space, competing against firms like Hamilton Lane, Cambridge Associates, and Meketa [1]. The firm's 21% organic CAGR in fee-earning AUM since FY2021 indicates share gains in the growing alternatives allocation trend. Product Pipeline (1/2): Expansion into private wealth through new distribution channels, growing advisory mandates, and broadening asset class coverage provide visible revenue growth avenues [1][2]. R&amp;D Intensity (0/1): Not applicable to financial services firms — technology investment is embedded in SG&amp;A rather than reported separately.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StepStone's purpose centers on generating superior investment returns through private markets expertise for institutional clients — a functional financial services objective interchangeable with any competitor [3]. The firm emphasizes data-driven decision-making and 'creative, entrepreneurial culture' but does not articulate a vision of a future state beyond investment performance. Community Impact (0/2): StepStone publishes Responsible Investment and ESG reports emphasizing integration of ESG factors into investment due diligence, but no specific charitable dollar amounts, foundation activities, or community investment programs were identified [3]. Employee Retention (0/2): CEO describes culture as 'creative, data-driven, entrepreneurial,' but Glassdoor reviews cite a 'culture of reprisals and lack of departmental responsibility' [3]. No specific tenure, turnover, or retention data is publicly available. Insider Buying (2/2): A StepStone insider purchased 120,000 shares at $41.85 for a total of $5.022M in June 2026, representing meaningful net insider buying with strong dollar commitment from a senior executive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with Forward P/E excluded due to GAAP losses (unrealized carried interest losses distort GAAP earnings for alternative asset managers). D/E of 150% reflects the leveraged balance sheet typical of asset managers but remains well within the scoring range [4]. GAAP ROE of -12.81% and profit margin of -17.1% both score 0.0, though these figures are distorted by $535.8M in GAAP losses driven primarily by unrealized performance fee reversals — fee-related earnings grew 14% to $354.4M and adjusted net income was $264.6M ($2.16/share adjusted) [1]. Revenue growth is exceptional at 69.7% YoY on total GAAP revenue and the 5-year CAGR is approximately 40% driven by both fee growth and performance fee cycles [1][2]. Dividend metrics are solid: 6 consecutive years paid since IPO, 5 consecutive years of growth, $1.12 annual dividend (2.72% yield), ~52% payout on adjusted earnings, and ~15% 5-year dividend growth CAGR [4]. Calculation: D/E scores 0.65, ROE 0.0, RevYoY 1.0, Rev5yr 1.0, ProfitMargin 0.0, PayoutRatio 0.80, ConsecYrsPaid 0.60 (2x), ConsecYrsGrowth 0.50, DivGrowth 1.0 (2x); weighted sum 7.15/11 = 6.5, rounds to 7.</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StepStone Group operates with a predominantly finite-game mindset characteristic of alternative asset managers — the business exists to generate superior risk-adjusted returns and grow AUM, which are inherently finite-game objectives measured quarterly. CEO Scott Hart's leadership since 2022 provides stability, and the firm's 21% organic fee-earning AUM CAGR since FY2021 demonstrates consistent execution. However, the organizational purpose does not extend beyond financial performance, and the competitive language focuses on scale and returns rather than advancing a cause beyond the company itself.</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StepStone exists to generate superior investment returns for institutional clients through private markets expertise — a quintessentially finite objective measured by IRR, AUM growth, and fee revenue [1][3]. There is no articulated vision of a future state beyond investment performance. The firm's growth strategy centers on scale (more AUM, more asset classes, more clients), not on advancing a purpose that transcends the business. Sinek would identify this as a company playing to win, not playing to keep playing.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Hart describes a 'creative, data-driven, and entrepreneurial culture' [3]. Co-founder Monte Brem's orderly transition to Executive Chairman in 2022 was smooth, suggesting board-level trust. However, Glassdoor reviews mentioning a 'culture of reprisals' and lack of departmental accountability present a more complex picture. No specific employee tenure or turnover data is publicly available to distinguish StepStone from industry average.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referencing competitors' strengths as motivation for self-improvement. StepStone's competitive positioning emphasizes its unique data capabilities, scale advantages, and differentiated platform rather than acknowledging what Hamilton Lane, Cambridge Associates, or other peers do better [3]. The competitive language is about StepStone's own strengths, not about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StepStone has evolved from a primarily advisory firm into a diversified private markets platform spanning PE, infrastructure, real estate, private debt, and venture capital, while adding a private wealth channel that opens an entirely new client segment [1][2]. AUM growth from under $100B to $233B reflects this strategic broadening. These moves show meaningful strategic flexibility, though the core advisory and fund management model remains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Scott Hart has maintained consistent strategic direction since becoming sole CEO in 2022, continuing to invest in platform expansion and private wealth distribution during periods of private markets fundraising headwinds [1]. The firm's decision to grow adjusted headcount and technology capabilities during the 2022-2023 fundraising drought, accepting near-term margin compression to position for the recovery, demonstrates willingness to invest through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StepStone Group at $41.13 with $885B in total capital responsibility, fee-related earnings growing 14% to $354.4M, and a first-ever quarter exceeding $100M in FRE offers exposure to the secular growth in private markets allocations [1]. Management fees grew 21% to $926.5M in FY2026, demonstrating durable recurring revenue growth independent of volatile performance fees [1]. The 2.72% dividend yield with ~15% 5-year growth CAGR and $5.0M in recent insider buying provide income and insider conviction [4]. The Inspire Impact Score of 49 with 16 positive attributions and zero negative makes StepStone one of the strongest faith-aligned names in financial services. With institutional investors continuing to increase private markets allocations from ~30% toward 40%+ of total portfolios, StepStone's advisory-led model is positioned to capture outsized growth [2].</w:t>
      </w:r>
    </w:p>
    <w:p>
      <w:pPr>
        <w:spacing w:after="120"/>
      </w:pPr>
      <w:r>
        <w:rPr>
          <w:rFonts w:ascii="Calibri" w:hAnsi="Calibri"/>
          <w:b w:val="0"/>
          <w:color w:val="3A4A28"/>
          <w:sz w:val="20"/>
        </w:rPr>
        <w:t>The bear case centers on GAAP optics and valuation vulnerability. GAAP net losses of $535.8M in FY2026 — 198% worse than the prior year — reflect unrealized carried interest reversals that could persist through volatile markets, creating headline risk and potentially pressuring the stock [1]. D/E of 150% is elevated for a firm with volatile GAAP earnings, and the $382M in debt against $244M in cash leaves negative net cash of -$138M [4]. The private markets fundraising environment faces cyclical headwinds from rising rates and LP liquidity constraints, which could slow AUM growth and compress fee-earning assets. GAAP profit margin of -17.1% and ROE of -12.81% obscure the underlying profitability but create challenges for systematic investors who screen on GAAP metrics. The stock has declined from its highs, and at ~19x adjusted earnings, the valuation assumes continued strong growth in fee-related revenue without performance fee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private markets allocation growth toward 40%+ of institutional portfolios, driving organic fee-earning AUM growth at the 21% CAGR maintained since FY2021 and expanding StepStone's management fee base [1][2]</w:t>
      </w:r>
    </w:p>
    <w:p>
      <w:pPr>
        <w:spacing w:before="40" w:after="40"/>
        <w:ind w:left="283"/>
      </w:pPr>
      <w:r>
        <w:rPr>
          <w:rFonts w:ascii="Calibri" w:hAnsi="Calibri"/>
          <w:b/>
          <w:color w:val="4A6B25"/>
          <w:sz w:val="20"/>
        </w:rPr>
        <w:t xml:space="preserve">2. </w:t>
      </w:r>
      <w:r>
        <w:rPr>
          <w:rFonts w:ascii="Calibri" w:hAnsi="Calibri"/>
          <w:b w:val="0"/>
          <w:color w:val="3A4A28"/>
          <w:sz w:val="20"/>
        </w:rPr>
        <w:t>Private wealth channel expansion opening a new $10T+ addressable market beyond traditional institutional clients, with dedicated distribution infrastructure now scaling [1]</w:t>
      </w:r>
    </w:p>
    <w:p>
      <w:pPr>
        <w:spacing w:before="40" w:after="40"/>
        <w:ind w:left="283"/>
      </w:pPr>
      <w:r>
        <w:rPr>
          <w:rFonts w:ascii="Calibri" w:hAnsi="Calibri"/>
          <w:b/>
          <w:color w:val="4A6B25"/>
          <w:sz w:val="20"/>
        </w:rPr>
        <w:t xml:space="preserve">3. </w:t>
      </w:r>
      <w:r>
        <w:rPr>
          <w:rFonts w:ascii="Calibri" w:hAnsi="Calibri"/>
          <w:b w:val="0"/>
          <w:color w:val="3A4A28"/>
          <w:sz w:val="20"/>
        </w:rPr>
        <w:t>Performance fee realizations normalizing as private equity exits resume, potentially swinging GAAP earnings positive and triggering a re-rating from the current discount to adjusted earnings peers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losses of $535.8M in FY2026 from unrealized carried interest reversals create headline risk and investor confusion, potentially pressuring the stock even as underlying fee-related earnings grow 14% [1]</w:t>
      </w:r>
    </w:p>
    <w:p>
      <w:pPr>
        <w:spacing w:before="40" w:after="40"/>
        <w:ind w:left="283"/>
      </w:pPr>
      <w:r>
        <w:rPr>
          <w:rFonts w:ascii="Calibri" w:hAnsi="Calibri"/>
          <w:b/>
          <w:color w:val="4A6B25"/>
          <w:sz w:val="20"/>
        </w:rPr>
        <w:t xml:space="preserve">2. </w:t>
      </w:r>
      <w:r>
        <w:rPr>
          <w:rFonts w:ascii="Calibri" w:hAnsi="Calibri"/>
          <w:b w:val="0"/>
          <w:color w:val="3A4A28"/>
          <w:sz w:val="20"/>
        </w:rPr>
        <w:t>Private markets fundraising cyclicality — a sustained period of LP liquidity constraints or risk aversion could slow AUM growth below the 21% organic CAGR, compressing management fee revenue [2]</w:t>
      </w:r>
    </w:p>
    <w:p>
      <w:pPr>
        <w:spacing w:before="40" w:after="40"/>
        <w:ind w:left="283"/>
      </w:pPr>
      <w:r>
        <w:rPr>
          <w:rFonts w:ascii="Calibri" w:hAnsi="Calibri"/>
          <w:b/>
          <w:color w:val="4A6B25"/>
          <w:sz w:val="20"/>
        </w:rPr>
        <w:t xml:space="preserve">3. </w:t>
      </w:r>
      <w:r>
        <w:rPr>
          <w:rFonts w:ascii="Calibri" w:hAnsi="Calibri"/>
          <w:b w:val="0"/>
          <w:color w:val="3A4A28"/>
          <w:sz w:val="20"/>
        </w:rPr>
        <w:t>Key-person dependency on CEO Scott Hart and co-founder Monte Brem, combined with Glassdoor reviews citing cultural concerns, creates retention risk for the relationship-driven investment professionals who generate proprietary deal flow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StepStone's core business — advising institutional investors on private market fund allocations, conducting GP due diligence, and managing co-investment vehicles — is inherently relationship-driven, judgment-intensive, and protected by deep expertise moats [1][3]. AI tools can enhance data analysis and portfolio analytics, but cannot replicate the proprietary deal flow, GP relationships spanning decades, and fiduciary trust required to deploy hundreds of billions in private markets. Regulatory requirements for registered investment advisors add structural protection. However, AI-powered analytics platforms (like CAIS, iCapital) could democratize some aspects of private markets access, modestly compressing advisory fees for less differentiated services. Analysts have not flagged AI as a meaningful disruption risk for alternative asset managers. AI Opportunity (0/1): While StepStone is data-intensive and uses analytics for investment decisions, the firm does not generate quantifiable revenue from AI products or services sold externally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StepStone Group Fourth Quarter and Fiscal Year 2026 Results — FRE, Revenue, AUM, and Performance Fees, May 2026</w:t>
      </w:r>
    </w:p>
    <w:p>
      <w:pPr>
        <w:spacing w:before="20" w:after="20"/>
        <w:ind w:left="170"/>
      </w:pPr>
      <w:r>
        <w:rPr>
          <w:rFonts w:ascii="Calibri" w:hAnsi="Calibri"/>
          <w:b/>
          <w:color w:val="4A6B25"/>
          <w:sz w:val="15"/>
        </w:rPr>
        <w:t xml:space="preserve">2. </w:t>
      </w:r>
      <w:r>
        <w:rPr>
          <w:rFonts w:ascii="Calibri" w:hAnsi="Calibri"/>
          <w:b w:val="0"/>
          <w:color w:val="3A4A28"/>
          <w:sz w:val="17"/>
        </w:rPr>
        <w:t>StepStone Group Q1 CY2026 Earnings — Revenue Growth, Fee-Earning AUM Organic CAGR, Private Wealth Expansion, May 2026</w:t>
      </w:r>
    </w:p>
    <w:p>
      <w:pPr>
        <w:spacing w:before="20" w:after="20"/>
        <w:ind w:left="170"/>
      </w:pPr>
      <w:r>
        <w:rPr>
          <w:rFonts w:ascii="Calibri" w:hAnsi="Calibri"/>
          <w:b/>
          <w:color w:val="4A6B25"/>
          <w:sz w:val="15"/>
        </w:rPr>
        <w:t xml:space="preserve">3. </w:t>
      </w:r>
      <w:r>
        <w:rPr>
          <w:rFonts w:ascii="Calibri" w:hAnsi="Calibri"/>
          <w:b w:val="0"/>
          <w:color w:val="3A4A28"/>
          <w:sz w:val="17"/>
        </w:rPr>
        <w:t>StepStone Group Corporate Website — Who We Are, Culture, ESG/Responsible Investment,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Benzinga — STEP Key Statistics, Insider Trading Activity, and Dividend History,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