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STM</w:t>
      </w:r>
      <w:r>
        <w:rPr>
          <w:rFonts w:ascii="Calibri" w:hAnsi="Calibri"/>
          <w:b/>
          <w:color w:val="1A2010"/>
          <w:sz w:val="40"/>
        </w:rPr>
        <w:t xml:space="preserve">  STMicroelectronics N.V.</w:t>
      </w:r>
    </w:p>
    <w:p>
      <w:pPr>
        <w:spacing w:after="120"/>
      </w:pPr>
      <w:r>
        <w:rPr>
          <w:rFonts w:ascii="Calibri" w:hAnsi="Calibri"/>
          <w:b/>
          <w:color w:val="6E8450"/>
          <w:sz w:val="18"/>
        </w:rPr>
        <w:t>GROWTH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Switzerland</w:t>
      </w:r>
    </w:p>
    <w:p>
      <w:pPr>
        <w:spacing w:after="80"/>
      </w:pPr>
      <w:r>
        <w:rPr>
          <w:rFonts w:ascii="Calibri" w:hAnsi="Calibri"/>
          <w:b w:val="0"/>
          <w:color w:val="3A4A28"/>
          <w:sz w:val="20"/>
        </w:rPr>
        <w:t>STMicroelectronics N.V. designs, develops, manufactures, and markets semiconductor products globally across Automotive and Discrete, Analog MEMS and Sensors, and Microcontrollers and Digital ICs segments. Products include silicon carbide power transistors, MEMS sensors, microcontrollers, automotive ICs, silicon photonics, and optical connectivity components. The company reported Q2 2026 revenue of $3.49B (+26% YoY) with datacenter revenue now expected to exceed $1B in 2026, growing to $2B+ in 2027, driven by AI data center demand for optical interconnects and power management. Founded in 1987 through the merger of SGS Microelettronica and Thomson Semiconducteurs, headquartered in Geneva, Switzerland. Market cap approximately $44.9B.</w:t>
      </w:r>
    </w:p>
    <w:p>
      <w:r>
        <w:rPr>
          <w:rFonts w:ascii="Calibri" w:hAnsi="Calibri"/>
          <w:b/>
          <w:color w:val="6E8450"/>
          <w:sz w:val="18"/>
        </w:rPr>
        <w:t>50,000 Employees · https://www.st.com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STMicroelectronics has successfully expanded into several high-growth categories over the past five years — silicon carbide (SiC) power semiconductors for EVs, edge AI microcontrollers, and silicon photonics for AI data centers and LEO satellites [1]. The Communication Equipment and Computer Peripherals segment surged 50% YoY in Q2 2026, driven by high-speed optical connectivity deployed in cloud AI infrastructure [1]. The SiC business has grown from niche to a major revenue driver alongside Wolfspeed and Infineon. AI Deployment (1/2): STMicroelectronics deploys AI at the edge through its STM32 microcontroller platform with neural network capability, enabling machine learning on embedded devices for industrial, automotive, and consumer applications [2]. Datacenter revenue exceeding $1B in 2026 includes AI-driven demand for optical and power management components, but STM is primarily an AI hardware enabler rather than an AI product company. Market Share (2/2): STM is a top-5 global automotive semiconductor supplier and holds leading positions in SiC power devices and MEMS sensors [1]. Q2 2026 automotive revenues grew 16% YoY driven by strong demand for application-specific ICs and sensors, demonstrating share stability in a competitive market. Product Pipeline (2/2): Strong pipeline visibility — Q3 2026 guided at $3.70B (+6.2% seq, +16.2% YoY), Q4 expected above $4B, and datacenter revenue roadmap from $1B in 2026 to well above $2B in 2027, driven by engaged customer programs in AI data centers and LEO satellite communication [1]. R&amp;D Intensity (0/1): STM invests approximately 15% of revenue in R&amp;D — well above the semiconductor industry average of ~12%, reflecting commitment to maintaining technological leadership across its diverse product portfolio.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STMicroelectronics frames its purpose around enabling a 'smarter, greener, and more connected world' through semiconductor technology, with values of 'People, Integrity, and Excellence' [3]. The purpose connects to meaningful societal outcomes — vehicle electrification, energy efficiency, AI connectivity — but is not uniquely differentiated from semiconductor peers like Infineon or NXP who articulate similar visions. Community Impact (1/2): ST has been a UN Global Compact signatory since 2000, RBA member since 2005, and received 70+ corporate responsibility awards since 1991 [3]. The company earned CDP A-List status for climate action and is advancing toward carbon neutrality by 2027 with process gas abatement reaching 83% in 2025 [3]. However, no distinctive charitable programs with specific dollar amounts were identified. Employee Retention (2/2): Approximately 50,000 employees with CEO Jean-Marc Chery serving since 2018 (8+ year tenure) and a stable executive team. Chery chairs the Global Semiconductor Alliance board, demonstrating industry leadership [2]. The company's 39-year institutional history and 25+ year sustainability commitment suggest above-average retention for the semiconductor industry. Insider Buying (1/2): CEO Chery's compensation is equity-linked and aligned with long-term performance. No significant net insider buying was identified in recent quarters, but founder alignment through equity-linked compensation provides some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STMicroelectronics reported Q2 2026 revenue of $3.49B (+26% YoY), beating guidance, with TTM revenue of $13.10B demonstrating recovery from the FY2025 trough of $11.8B [1]. The balance sheet is fortress-grade with D/E of only 23% (scoring 1.0), and YoY revenue growth of 26% well exceeds the 10% target (scoring 1.0) [4]. Forward P/E of 24.26x scores 0.89, near the 20x target. However, profitability remains depressed from the cyclical trough — ROE of 2.69% (scoring 0.18 at 2x weight) and profit margin of 3.56% (scoring 0.18) reflect the earnings recovery still in progress [4]. 5-year revenue CAGR of approximately 3% (scoring 0.53 at 2x weight) is compressed by the steep 2023-2025 downcycle. Forward PEG is unavailable and excluded. Weighted sum 4.50/8.0, score = 6. Liquidity is strong at ~$476M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STMicroelectronics demonstrates strong infinite game qualities — a 39-year history of continuous reinvention through semiconductor cycles, deeply embedded sustainability commitment (UN Global Compact since 2000, carbon neutrality target 2027), and leadership stability under CEO Chery. The company plays to keep playing rather than to win any single cycle, investing through the severe 2023-2025 downturn rather than cutting R&amp;D. However, the dual-listing governance structure with Franco-Italian government shareholders and the inherent cyclicality of semiconductor markets create tensions with pure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STMicroelectronics has a genuine purpose around enabling a 'smarter, greener, and more connected world' through semiconductor technology [3]. This cause connects to meaningful societal outcomes — vehicle electrification reducing emissions, AI infrastructure enabling new capabilities, IoT improving efficiency. The 39-year history and 25+ year sustainability commitment demonstrate consistency through multiple industry cycles. CEO Chery references the company's purpose in strategic decisions. However, the cause is shared by several semiconductor peers and lacks the kind of existential crisis validation that earns the top mark.</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STMicroelectronics demonstrates evidence of a high-trust organization. The 25+ year commitment to sustainability — UN Global Compact signatory since 2000, RBA member since 2005, 70+ corporate responsibility awards, CDP A-List status [3] — reflects deeply embedded organizational values rather than performative ESG. CEO Chery's 8+ year tenure, chairmanship of the Global Semiconductor Alliance, and stable executive team signal leadership continuity [2]. With 50,000 employees across global operations, maintaining cultural consistency and advancing toward 2027 carbon neutrality requires genuine trust and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STMicroelectronics competes against formidable rivals — Texas Instruments, Infineon, NXP, Renesas — and consistently frames competition as motivation to improve capabilities rather than a war to win [2]. CEO Chery's role as chair of the Global Semiconductor Alliance board demonstrates an industry-collaborative rather than combative mindset. Strategic investments in SiC, edge AI, and silicon photonics reflect responses to competitive dynamics focused on building distinctive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STMicroelectronics has evolved meaningfully — shifting from a broad-line commodity supplier to a focused provider of automotive, industrial, and AI data center solutions. The investment in SiC power devices was a significant strategic bet that paid off with EV adoption. The recent rapid scaling of silicon photonics for AI data centers (from negligible to $1B+ in revenue) shows continued adaptation to new market opportunities [1]. However, these are evolutionary shifts within semiconductor manufacturing rather than transformative reinventions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STMicroelectronics made courageous bets — multi-billion dollar SiC manufacturing capacity investment ahead of demand, strategic decision to build new European fabs despite capital intensity, and maintaining ~15% R&amp;D spending even during the severe FY2025 downcycle when revenues fell to $11.8B [1]. The commitment to carbon neutrality by 2027 in a manufacturing-intensive business requires real investment. However, Franco-Italian government backing provides a financial safety net that reduces the organizational risk of these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STMicroelectronics is a leading European semiconductor company in the midst of a strong cyclical recovery, with Q2 2026 revenue of $3.49B (+26% YoY) beating guidance and Q3 guided at $3.70B with Q4 expected above $4B [1]. The AI data center opportunity has inflected dramatically — datacenter revenue is now projected to exceed $1B in 2026 and grow to well above $2B in 2027, driven by silicon photonics and optical connectivity for cloud AI infrastructure [1]. At $50.56 with a forward P/E of 24.26x, the stock offers exposure to three secular growth themes: vehicle electrification (SiC power), edge AI (STM32 MCUs), and AI data center buildout (optical interconnects). The fortress balance sheet (D/E 23%) provides financial flexibility through semiconductor cycles, and CEO Chery's stable 8+ year leadership ensures strategic continuity.</w:t>
      </w:r>
    </w:p>
    <w:p>
      <w:pPr>
        <w:spacing w:after="120"/>
      </w:pPr>
      <w:r>
        <w:rPr>
          <w:rFonts w:ascii="Calibri" w:hAnsi="Calibri"/>
          <w:b w:val="0"/>
          <w:color w:val="3A4A28"/>
          <w:sz w:val="20"/>
        </w:rPr>
        <w:t>The primary concern is the depth of the earnings trough STM is climbing out of and the pace of margin recovery. Trailing P/E of 96.28x and ROE of 2.69% reflect the earnings collapse from the $17.3B 2023 peak to $11.8B 2025 trough [4]. While revenue is recovering strongly (26% YoY), Q2 gross margin of 34.8% remains well below the historical 47-50% peak, and profit margin of 3.56% needs to recover toward the 15-20% historical range before earnings justify the current market cap [1]. The 5-year revenue CAGR of ~3% reflects the severe post-peak compression. The stock has fallen 30% from its June 2026 levels to $50.56, suggesting the market is skeptical about the recovery trajectory. European automotive OEM exposure (BMW, VW, Stellantis losing share to Chinese competitors) creates geographic concentration risk, and semiconductor cyclicality could stall the recovery if automotive or industrial end markets face renewed inventory correction.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revenue exceeding $1B in 2026 and projected above $2B in 2027, driven by silicon photonics and optical connectivity demand for cloud AI infrastructure and LEO satellite communication [1]</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toward the historical 40-50% range as revenue scales above $4B quarterly, manufacturing utilization improves, and higher-margin SiC and embedded processing products grow as a share of mix [1]</w:t>
      </w:r>
    </w:p>
    <w:p>
      <w:pPr>
        <w:spacing w:before="40" w:after="40"/>
        <w:ind w:left="283"/>
      </w:pPr>
      <w:r>
        <w:rPr>
          <w:rFonts w:ascii="Calibri" w:hAnsi="Calibri"/>
          <w:b/>
          <w:color w:val="4A6B25"/>
          <w:sz w:val="20"/>
        </w:rPr>
        <w:t xml:space="preserve">3. </w:t>
      </w:r>
      <w:r>
        <w:rPr>
          <w:rFonts w:ascii="Calibri" w:hAnsi="Calibri"/>
          <w:b w:val="0"/>
          <w:color w:val="3A4A28"/>
          <w:sz w:val="20"/>
        </w:rPr>
        <w:t>Q4 2026 revenue expected above $4B, which would represent a ~$16B+ annualized run-rate approaching the 2023 peak, validating the cyclical recovery and potentially re-rating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risk — STM's revenue fell 32% from 2023 peak to 2025 trough, and the current 26% growth rate could decelerate if automotive or industrial end markets face renewed inventory correction or EV adoption slows [1]</w:t>
      </w:r>
    </w:p>
    <w:p>
      <w:pPr>
        <w:spacing w:before="40" w:after="40"/>
        <w:ind w:left="283"/>
      </w:pPr>
      <w:r>
        <w:rPr>
          <w:rFonts w:ascii="Calibri" w:hAnsi="Calibri"/>
          <w:b/>
          <w:color w:val="4A6B25"/>
          <w:sz w:val="20"/>
        </w:rPr>
        <w:t xml:space="preserve">2. </w:t>
      </w:r>
      <w:r>
        <w:rPr>
          <w:rFonts w:ascii="Calibri" w:hAnsi="Calibri"/>
          <w:b w:val="0"/>
          <w:color w:val="3A4A28"/>
          <w:sz w:val="20"/>
        </w:rPr>
        <w:t>European automotive OEM exposure — STM's largest customers include European automakers losing market share to Chinese competitors (BYD, NIO), potentially pressuring STM's automotive semiconductor demand and pricing [4]</w:t>
      </w:r>
    </w:p>
    <w:p>
      <w:pPr>
        <w:spacing w:before="40" w:after="40"/>
        <w:ind w:left="283"/>
      </w:pPr>
      <w:r>
        <w:rPr>
          <w:rFonts w:ascii="Calibri" w:hAnsi="Calibri"/>
          <w:b/>
          <w:color w:val="4A6B25"/>
          <w:sz w:val="20"/>
        </w:rPr>
        <w:t xml:space="preserve">3. </w:t>
      </w:r>
      <w:r>
        <w:rPr>
          <w:rFonts w:ascii="Calibri" w:hAnsi="Calibri"/>
          <w:b w:val="0"/>
          <w:color w:val="3A4A28"/>
          <w:sz w:val="20"/>
        </w:rPr>
        <w:t>Profit margin recovery may be slower than expected — trailing profit margin of 3.56% and ROE of 2.69% need to recover toward historical 15-20% levels, and elevated capital spending on new fabs and SiC capacity could delay margin normalization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STMicroelectronics manufactures physical semiconductor products — SiC power transistors, microcontrollers, MEMS sensors, and silicon photonics — that are essential hardware AI cannot substitute [1][2]. AI data centers directly increase demand for STM's optical interconnects and power management ICs, with datacenter revenue now projected to exceed $1B in 2026 and grow to $2B+ in 2027 [1]. The automotive semiconductor market, STM's largest segment, is driven by vehicle electrification and ADAS — trends AI accelerates rather than threatens. However, commodity analog and generic MCU products face competitive pressure as larger players (Qualcomm, NVIDIA) enter automotive with more integrated AI chip designs. AI Opportunity (1/1): STMicroelectronics generates quantifiable AI-related revenue — datacenter revenues exceeding $1B in 2026 driven by silicon photonics and optical connectivity for cloud AI infrastructure, plus the STM32 edge AI MCU platform enabling neural network inference on embedded devices across industrial and automotive applications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STMicroelectronics Q2 2026 Earnings Release — Revenue $3.49B (+26% YoY), Net Income $222M, Gross Margin 34.8%, Datacenter &gt;$1B, Q3 Guide $3.70B, GlobeNewsWire, July 2026</w:t>
      </w:r>
    </w:p>
    <w:p>
      <w:pPr>
        <w:spacing w:before="20" w:after="20"/>
        <w:ind w:left="170"/>
      </w:pPr>
      <w:r>
        <w:rPr>
          <w:rFonts w:ascii="Calibri" w:hAnsi="Calibri"/>
          <w:b/>
          <w:color w:val="4A6B25"/>
          <w:sz w:val="15"/>
        </w:rPr>
        <w:t xml:space="preserve">2. </w:t>
      </w:r>
      <w:r>
        <w:rPr>
          <w:rFonts w:ascii="Calibri" w:hAnsi="Calibri"/>
          <w:b w:val="0"/>
          <w:color w:val="3A4A28"/>
          <w:sz w:val="17"/>
        </w:rPr>
        <w:t>STMicroelectronics CEO Jean-Marc Chery (GSA Chair), Edge AI Strategy, Remi El-Ouazzane (MCU/AI President) — st.com, GSA, AI Magazine, 2025-2026</w:t>
      </w:r>
    </w:p>
    <w:p>
      <w:pPr>
        <w:spacing w:before="20" w:after="20"/>
        <w:ind w:left="170"/>
      </w:pPr>
      <w:r>
        <w:rPr>
          <w:rFonts w:ascii="Calibri" w:hAnsi="Calibri"/>
          <w:b/>
          <w:color w:val="4A6B25"/>
          <w:sz w:val="15"/>
        </w:rPr>
        <w:t xml:space="preserve">3. </w:t>
      </w:r>
      <w:r>
        <w:rPr>
          <w:rFonts w:ascii="Calibri" w:hAnsi="Calibri"/>
          <w:b w:val="0"/>
          <w:color w:val="3A4A28"/>
          <w:sz w:val="17"/>
        </w:rPr>
        <w:t>STMicroelectronics Sustainability — Carbon Neutrality 2027, Process Gas Abatement 83%, CDP A-List, UN Global Compact Since 2000, 70+ CSR Awards — st.com/sustainability, MarketScreener,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STM Key Statistics: Forward P/E 24.26, D/E 23%, ROE 2.69%, Profit Margin 3.56%, Market Cap $44.87B, Price $50.56,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