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SVM</w:t>
      </w:r>
      <w:r>
        <w:rPr>
          <w:rFonts w:ascii="Calibri" w:hAnsi="Calibri"/>
          <w:b/>
          <w:color w:val="1A2010"/>
          <w:sz w:val="40"/>
        </w:rPr>
        <w:t xml:space="preserve">  Silvercorp Metals Inc.</w:t>
      </w:r>
    </w:p>
    <w:p>
      <w:pPr>
        <w:spacing w:after="120"/>
      </w:pPr>
      <w:r>
        <w:rPr>
          <w:rFonts w:ascii="Calibri" w:hAnsi="Calibri"/>
          <w:b/>
          <w:color w:val="6E8450"/>
          <w:sz w:val="18"/>
        </w:rPr>
        <w:t>GROWTH SLEEVE · 2026-08-23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American · Canada</w:t>
      </w:r>
    </w:p>
    <w:p>
      <w:pPr>
        <w:spacing w:after="80"/>
      </w:pPr>
      <w:r>
        <w:rPr>
          <w:rFonts w:ascii="Calibri" w:hAnsi="Calibri"/>
          <w:b w:val="0"/>
          <w:color w:val="3A4A28"/>
          <w:sz w:val="20"/>
        </w:rPr>
        <w:t>Silvercorp Metals Inc. is a Canadian silver mining company with operations primarily in China. The company acquires, explores, develops, and mines mineral properties producing silver, gold, lead, zinc, and copper. Silvercorp operates mines in China's Henan and Guangdong provinces and has expanded into South America with projects in Ecuador and Bolivia. Q1 FY2027 (June 2026) revenue reached $138.7M (+70% YoY) driven by silver prices surging to $69.38/oz, while production volumes declined 15-17% due to voluntary suspension for safety upgrades following new Chinese nationwide regulations. Founded in 2003 and headquartered in Vancouver, led by founder and CEO Dr. Rui Feng. Market cap approximately $2.77B.</w:t>
      </w:r>
    </w:p>
    <w:p>
      <w:r>
        <w:rPr>
          <w:rFonts w:ascii="Calibri" w:hAnsi="Calibri"/>
          <w:b/>
          <w:color w:val="6E8450"/>
          <w:sz w:val="18"/>
        </w:rPr>
        <w:t>372 Employees · https://silvercorpmetals.com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Silvercorp has expanded its geographic footprint beyond China into Ecuador and Bolivia over the past five years, diversifying its asset base and reducing country-specific risk [1]. However, the core business model — underground silver-polymetallic mining — has remained fundamentally unchanged, with no significant product-level or business model transformations. AI Deployment (1/2): CEO Dr. Rui Feng pioneered a digital information management tool for Silvercorp's mines that has contributed to improved organizational performance and operational profitability [2]. The company has plans to advance digital mining as part of its sustainability strategy. While not full AI deployment, this represents above-average digital adoption for a junior silver miner. Market Share (1/2): Silvercorp is the largest primary silver producer in China and among the lowest-cost silver miners globally, with silver representing 77% of Q1 FY2027 revenue [1]. However, silver mining is a fragmented global market with no single company defining the category. Product Pipeline (1/2): Exploration and development projects in Ecuador and Bolivia provide future growth optionality, and the company is advancing mine capacity upgrades at Chinese operations [1]. Safety upgrades following new Chinese regulations position the mines for more sustainable long-term production. R&amp;D Intensity (0/1): Mining companies generally have minimal R&amp;D spending. No evidence of above-industry-average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Silvercorp's leadership articulates a vision centered on being a profitable, low-cost silver producer with sustainable operations and community benefit [2]. The published Fiscal 2025 Sustainability Report details commitments across governance effectiveness, ecological protection, climate resilience, operational safety, and shared community prosperity [3]. The mission is clear but standard for the mining industry. Community Impact (1/2): Silvercorp's sustainability framework includes a 'shared community prosperity' pillar, all Chinese mines hold mandatory green mine status, and the company plans to deepen cooperation with local communities [3]. However, specific charitable program dollar amounts or distinctive community investment initiatives were not identified. Employee Retention (1/2): Dr. Rui Feng has led the company since its founding in 2003 (23+ years), providing exceptional leadership continuity [2]. The company voluntarily suspended production for worker safety upgrades following new nationwide Chinese regulations, accepting a 15-17% production hit — demonstrating care for operational workforce [1]. However, no specific turnover or tenure metrics were found. Insider Buying (1/2): Insider transactions show mixed activity with small-scale executive selling ($64,634 net selling by one director) against stock awards to officers. The amounts are minimal relative to the $2.77B market cap, suggesting neutral insider sentiment.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Silvercorp's financial profile has strengthened significantly with TTM revenue of $495.5M and Q1 FY2027 revenue of $138.7M (+70% YoY) driven by silver prices surging to $69.38/oz [1]. D/E of 10% is exceptionally low (scoring 1.0), and Forward P/E of 10.54 is very attractive (scoring 1.0) [4]. Revenue growth YoY of 70% scores maximum (1.0) and 5-year CAGR of approximately 18% also scores 1.0 at 2x weight. ROE has improved to 8.09% (scoring 0.54 at 2x weight) from 3.4% in the prior screen as profitability recovers. Profit margin of 6.32% (scoring 0.32) is now positive, up from -2.3% last screen, as the non-cash derivative charge impact fades [4]. Forward PEG is unavailable and excluded. Weighted sum 6.39/8.0, score = 8. Liquidity adequate at $31.9M daily traded value (2.55M shares x $12.53).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Silvercorp under Dr. Rui Feng's 23-year leadership shows characteristics of both finite and infinite thinking. The founder's extraordinary tenure and consistent strategic vision suggest enduring commitment, and the voluntary production suspension for safety upgrades demonstrates some willingness to sacrifice short-term output. But the company's language and decisions are primarily oriented toward low-cost production, geographic expansion, and shareholder returns rather than advancing a cause larger than profitable silver mining. The mining industry's inherently extractive nature creates structural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Silvercorp's purpose is centered on being a profitable, low-cost silver producer with sustainable operations [2][3]. While the adoption of environmental protection, green mine certification, and community relations policies shows awareness beyond pure profit, the stated purpose does not articulate a transformative vision of a better future. The mission is interchangeable with most responsible mining companies and exists as operational values rather than a Just Cause that inspires sacrifice and long-term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Dr. Rui Feng's 23-year tenure as founder and CEO provides exceptional leadership continuity, and the small organization (372 corporate employees) likely enables direct relationships between leadership and staff [2]. The voluntary production suspension for worker safety upgrades — accepting a 15-17% volume decline — suggests genuine care for workforce wellbeing beyond pure regulatory compliance [1]. However, no specific evidence of exceptional trust-building practices, employee satisfaction data, or cultural programs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Silvercorp's competitive positioning emphasizes being the lowest-cost producer and the largest primary silver miner in China [1]. This language focuses on winning competitive metrics rather than learning from rivals' strengths. No evidence was found of management acknowledging competitors as worthy rivals or using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Silvercorp has expanded beyond its original Chinese mining base into Ecuador and Bolivia, demonstrating willingness to evolve geographically [1]. The company has diversified from pure silver mining into polymetallic production (gold, lead, zinc, copper), adapting to commodity price dynamics. These represent meaningful incremental adaptations. However, the core business model — underground mining of precious and base metals — has remained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Feng's decision to build a mining company primarily operating in China while listed on North American exchanges required courage, navigating significant geopolitical and regulatory complexity [2]. The expansion into Ecuador and Bolivia represents meaningful risk-taking into new jurisdictions. The voluntary production suspension for safety upgrades showed willingness to sacrifice short-term output [1]. However, the company's conservative balance sheet (10% D/E, $127M free cash flow) and low-cost model suggest a preference for risk mitigation over transformative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Silvercorp delivered Q1 FY2027 revenue of $138.7M (+70% YoY) on silver prices surging to $69.38/oz, with adjusted net income tripling to C$53.9M and free cash flow reaching C$29M [1]. The fortress balance sheet — 10% D/E, $127M free cash flow, minimal debt — provides exceptional financial flexibility in a cyclical commodity business. At forward P/E of 10.54x, Silvercorp trades at a significant discount relative to its cash generation capacity. Operating margins have recovered strongly, and the stock has risen 185% in the past 52 weeks reflecting the silver price supercycle [4]. Silver's dual role as a precious metal and critical industrial commodity — with growing demand from AI data centers, solar panels, and electronics — provides a structural demand tailwind that positions Silvercorp as a beneficiary of both monetary easing and technology buildout.</w:t>
      </w:r>
    </w:p>
    <w:p>
      <w:pPr>
        <w:spacing w:after="120"/>
      </w:pPr>
      <w:r>
        <w:rPr>
          <w:rFonts w:ascii="Calibri" w:hAnsi="Calibri"/>
          <w:b w:val="0"/>
          <w:color w:val="3A4A28"/>
          <w:sz w:val="20"/>
        </w:rPr>
        <w:t>The primary risks center on Silvercorp's heavy concentration in China, where geopolitical tensions with the West, regulatory changes, and operational permitting uncertainties create country-specific risk that cannot be diversified away in the near term. Q1 FY2027 production volumes declined 15-17% due to voluntary safety suspension following new nationwide Chinese regulations, demonstrating how quickly regulatory changes can impact output [1]. Trailing P/E of 88.53x (distorted by non-cash charges) versus forward P/E of 10.54x highlights the disconnect between reported and underlying earnings — profit margin of 6.32% remains well below the 20% target, suggesting the company is still not fully capturing the silver price tailwind at the bottom line [4]. Key-person risk around founder Dr. Rui Feng (23-year tenure) with no publicly disclosed succession plan creates governance vulnerability. A reversion in silver prices from current elevated levels (~$69/oz) would compress margins rapidly given the operating leverage inherent in mining.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silver price appreciation driven by AI data center buildout, solar energy adoption, and monetary easing, directly benefiting Silvercorp at high operating leverage — Q1 realized prices of $69.38/oz were up 135% YoY [1]</w:t>
      </w:r>
    </w:p>
    <w:p>
      <w:pPr>
        <w:spacing w:before="40" w:after="40"/>
        <w:ind w:left="283"/>
      </w:pPr>
      <w:r>
        <w:rPr>
          <w:rFonts w:ascii="Calibri" w:hAnsi="Calibri"/>
          <w:b/>
          <w:color w:val="4A6B25"/>
          <w:sz w:val="20"/>
        </w:rPr>
        <w:t xml:space="preserve">2. </w:t>
      </w:r>
      <w:r>
        <w:rPr>
          <w:rFonts w:ascii="Calibri" w:hAnsi="Calibri"/>
          <w:b w:val="0"/>
          <w:color w:val="3A4A28"/>
          <w:sz w:val="20"/>
        </w:rPr>
        <w:t>Production recovery from safety suspension as mine capacity and safety upgrades are completed, restoring volumes toward FY2026's 6.5M+ ounce silver production level [1]</w:t>
      </w:r>
    </w:p>
    <w:p>
      <w:pPr>
        <w:spacing w:before="40" w:after="40"/>
        <w:ind w:left="283"/>
      </w:pPr>
      <w:r>
        <w:rPr>
          <w:rFonts w:ascii="Calibri" w:hAnsi="Calibri"/>
          <w:b/>
          <w:color w:val="4A6B25"/>
          <w:sz w:val="20"/>
        </w:rPr>
        <w:t xml:space="preserve">3. </w:t>
      </w:r>
      <w:r>
        <w:rPr>
          <w:rFonts w:ascii="Calibri" w:hAnsi="Calibri"/>
          <w:b w:val="0"/>
          <w:color w:val="3A4A28"/>
          <w:sz w:val="20"/>
        </w:rPr>
        <w:t>Development and production ramp-up of Ecuador and Bolivia projects, diversifying Silvercorp's revenue base beyond China and reducing geopolitical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and geopolitical risk — new nationwide safety regulations already reduced Q1 FY2027 production by 15-17%, and further regulatory changes, environmental policy shifts, or cross-border capital restrictions could materially impact operations [1]</w:t>
      </w:r>
    </w:p>
    <w:p>
      <w:pPr>
        <w:spacing w:before="40" w:after="40"/>
        <w:ind w:left="283"/>
      </w:pPr>
      <w:r>
        <w:rPr>
          <w:rFonts w:ascii="Calibri" w:hAnsi="Calibri"/>
          <w:b/>
          <w:color w:val="4A6B25"/>
          <w:sz w:val="20"/>
        </w:rPr>
        <w:t xml:space="preserve">2. </w:t>
      </w:r>
      <w:r>
        <w:rPr>
          <w:rFonts w:ascii="Calibri" w:hAnsi="Calibri"/>
          <w:b w:val="0"/>
          <w:color w:val="3A4A28"/>
          <w:sz w:val="20"/>
        </w:rPr>
        <w:t>Silver price decline from current $69/oz elevated levels would rapidly compress margins given mining operating leverage, with profit margin currently only 6.32% despite record silver prices [4]</w:t>
      </w:r>
    </w:p>
    <w:p>
      <w:pPr>
        <w:spacing w:before="40" w:after="40"/>
        <w:ind w:left="283"/>
      </w:pPr>
      <w:r>
        <w:rPr>
          <w:rFonts w:ascii="Calibri" w:hAnsi="Calibri"/>
          <w:b/>
          <w:color w:val="4A6B25"/>
          <w:sz w:val="20"/>
        </w:rPr>
        <w:t xml:space="preserve">3. </w:t>
      </w:r>
      <w:r>
        <w:rPr>
          <w:rFonts w:ascii="Calibri" w:hAnsi="Calibri"/>
          <w:b w:val="0"/>
          <w:color w:val="3A4A28"/>
          <w:sz w:val="20"/>
        </w:rPr>
        <w:t>Founder and CEO Dr. Rui Feng (23-year tenure) represents key-person risk — no succession plan has been publicly disclosed, and the company's strategy, Chinese government relationships, and operational culture are closely tied to his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mining is a physical-world operation that AI structurally cannot displace [1]. Extracting silver ore from underground mines requires geological expertise, heavy equipment, specialized labor, regulatory permitting, and physical infrastructure entirely outside the digital domain. AI cannot mine silver, process ore, or manage underground safety. Furthermore, silver is a critical input material for AI infrastructure — its superior electrical conductivity makes it essential for semiconductor connections, circuit boards, and data center components. Rising AI adoption increases silver demand, making Silvercorp a net beneficiary of AI buildout rather than a victim. No analysts have flagged AI as a disruption risk for silver miners. AI Opportunity (1/1): Silver consumption in electronics and AI-related applications is a growing end market. With silver representing 77% of Q1 FY2027 revenue and realized prices surging 135% YoY to $69.38/oz, Silvercorp directly benefits from the structural demand tailwind that AI infrastructure creates for silver [1]. Dr. Feng's digital mine management tools represent additional internal AI-adjacent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Silvercorp Metals Q1 FY2027 Results — Revenue $138.7M (+70% YoY), Silver $69.38/oz (+135%), Adjusted NI C$53.9M, Production Down 15-17% on Safety Upgrades, TipRanks/SEC 6-K, August 2026</w:t>
      </w:r>
    </w:p>
    <w:p>
      <w:pPr>
        <w:spacing w:before="20" w:after="20"/>
        <w:ind w:left="170"/>
      </w:pPr>
      <w:r>
        <w:rPr>
          <w:rFonts w:ascii="Calibri" w:hAnsi="Calibri"/>
          <w:b/>
          <w:color w:val="4A6B25"/>
          <w:sz w:val="15"/>
        </w:rPr>
        <w:t xml:space="preserve">2. </w:t>
      </w:r>
      <w:r>
        <w:rPr>
          <w:rFonts w:ascii="Calibri" w:hAnsi="Calibri"/>
          <w:b w:val="0"/>
          <w:color w:val="3A4A28"/>
          <w:sz w:val="17"/>
        </w:rPr>
        <w:t>Silvercorp Metals CEO Dr. Rui Feng Profile — Founder Since 2003, Digital Mine Management Pioneer, 25+ Years Mining Experience, silvercorpmetals.com,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Silvercorp Fiscal 2025 Sustainability Report — Green Mine Status, Five Strategic Pillars, Community Prosperity, PRNewswire/silvercorpmetals.com, September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 SVM Key Statistics: Forward P/E 10.54, D/E 10%, ROE 8.09%, Profit Margin 6.32%, Market Cap $2.77B, Price $12.53,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