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TARA</w:t>
      </w:r>
      <w:r>
        <w:rPr>
          <w:rFonts w:ascii="Calibri" w:hAnsi="Calibri"/>
          <w:b/>
          <w:color w:val="1A2010"/>
          <w:sz w:val="40"/>
        </w:rPr>
        <w:t xml:space="preserve">  Protara Therapeutics, Inc.</w:t>
      </w:r>
    </w:p>
    <w:p>
      <w:pPr>
        <w:spacing w:after="120"/>
      </w:pPr>
      <w:r>
        <w:rPr>
          <w:rFonts w:ascii="Calibri" w:hAnsi="Calibri"/>
          <w:b/>
          <w:color w:val="6E8450"/>
          <w:sz w:val="18"/>
        </w:rPr>
        <w:t>GROWTH SLEEVE · 2026-08-06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Protara Therapeutics, Inc. is a clinical-stage biotechnology company developing transformative therapies for people with cancer and rare diseases. Lead asset TARA-002 is an investigational cell therapy in late-stage trials for non-muscle invasive bladder cancer (NMIBC) and lymphatic malformations. Founded by Jesse Shefferman, the company listed on NASDAQ in early 2020 and had $177.4M in cash as of Q1 2026.</w:t>
      </w:r>
    </w:p>
    <w:p>
      <w:r>
        <w:rPr>
          <w:rFonts w:ascii="Calibri" w:hAnsi="Calibri"/>
          <w:b/>
          <w:color w:val="6E8450"/>
          <w:sz w:val="18"/>
        </w:rPr>
        <w:t>100 Employees · https://protaratx.com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Protara has expanded TARA-002 from lymphatic malformations into bladder cancer with a 72% complete response rate in BCG-naïve NMIBC patients, representing meaningful clinical progress but no commercial product launch or revenue generation to date [1][2]. AI Deployment (0/2): No evidence of AI-powered products or AI-driven operational efficiencies. Market Share (0/2): Pre-revenue clinical-stage company with no commercial market presence. Product Pipeline (1/2): Specific near-term milestones include BLA submission for TARA-002 in lymphatic malformations planned for 2H 2027, ADVANCED-3 registrational NMIBC trial initiation in 2H 2026, and THRIVE-3 Phase 3 interim data expected 2H 2026 [2]. R&amp;D Intensity (1/1): As a clinical-stage biotech, virtually all operating expenditure is R&amp;D — well above industry average as a percentage of total spend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Protara's stated purpose of 'advancing transformative therapies for people with cancer and rare diseases' is clear about what the company does and for whom, but is functionally interchangeable with dozens of clinical-stage biotechs — it does not articulate a deeper purpose beyond the obvious [5]. Community Impact (0/2): No evidence of charitable programs, foundation, or community investment beyond the clinical mission itself. Employee Retention (1/2): Named a BioSpace 2026 'Best Places to Work' winner, and the 2025 hire of Chief People Officer Shane Williams (25+ years life science experience) signals investment in culture, though no specific tenure or turnover data is publicly available [4]. Insider Buying (0/2): Net insider selling identified — Jacqueline Zummo sold 21,224 shares in March 2025 [6]. No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most financial ratios are inapplicable to a pre-revenue clinical-stage biotech. D/E of ~6.6% is excellent, reflecting $177.4M cash and marketable securities against only $13.1M total liabilities as of Q1 2026 [3]. However, ROE is deeply negative at approximately -36% (annualized $71.2M net loss against $196.4M equity), scoring 0. Revenue growth, forward P/E, profit margin, and forward PEG are all inapplicable with zero revenue and negative earnings. Infrastructure score = 1.0 weighted sum / 3.0 max weighted sum × 10 = 3. Liquidity check: 747,522 avg daily volume × ~$4.50 = ~$3.4M daily liquidity, above the $1M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Protara is a young clinical-stage biotech (NASDAQ-listed since 2020) that has not yet faced the multi-cycle tests that distinguish infinite from finite players. The company has a clear clinical mission and has demonstrated some flexibility in expanding its pipeline, but lacks the decades of validated purpose, transformative pivots, and competitive maturity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Protara has a purpose statement — transformative therapies for cancer and rare diseases — that reads as genuine but shallow. The mission is interchangeable with most clinical-stage biotechs and has not been tested through market crises, leadership transitions, or multi-decade consistency. The company was listed in 2020 and its purpose, while sincere, has not yet been validated by execution history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BioSpace 'Best Places to Work' 2026 recognition is positive evidence of employee satisfaction. The hire of a dedicated Chief People Officer in 2025 and the described culture of 'integrity, tenacity and teamwork' suggest above-average organizational health for a small biotech [4]. However, no specific tenure or voluntary turnover data is available to distinguish this from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Management commentary focuses on clinical differentiation and pipeline advancement without acknowledging competitors' strengths or framing competition as motivation to improve. The company operates in niche indications where competitive language is minimal.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Protara has evolved its business model since inception, adding multiple late-stage assets and expanding from its original rare disease focus into oncology (bladder cancer). CEO Jesse Shefferman led the company through its NASDAQ listing and strategic pivots [5]. These changes were incremental and additive rather than transformative — the company has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rare disease indications (lymphatic malformations) alongside larger oncology opportunities demonstrates willingness to serve underserved patient populations where commercial potential is smaller. The company is investing heavily in late-stage clinical programs while pre-revenue, accepting near-term losses for long-term capability [3]. However, this is standard clinical-stage biotech behavior rather than exceptional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Protara Therapeutics holds a promising late-stage pipeline anchored by TARA-002, which demonstrated a 72% complete response rate in BCG-naïve NMIBC patients — a potentially differentiated therapy in a market with limited treatment options after BCG failure [1][2]. The company's $177.4M cash position provides runway into 2028, and multiple near-term catalysts (THRIVE-3 interim data 2H 2026, ADVANCED-3 trial initiation 2H 2026, BLA submission 2H 2027) could meaningfully de-risk the investment case. Eight analysts rate the stock a 'Strong Buy' with a consensus target of $26.57, implying significant upside from the current ~$4.50 price [1].</w:t>
      </w:r>
    </w:p>
    <w:p>
      <w:pPr>
        <w:spacing w:after="120"/>
      </w:pPr>
      <w:r>
        <w:rPr>
          <w:rFonts w:ascii="Calibri" w:hAnsi="Calibri"/>
          <w:b w:val="0"/>
          <w:color w:val="3A4A28"/>
          <w:sz w:val="20"/>
        </w:rPr>
        <w:t>The bear case centers on execution and binary risk. Protara is burning ~$71M annually with zero revenue, and any clinical trial failure in TARA-002 would be devastating to the investment thesis — the pipeline is essentially a single-asset story across multiple indications. The 39% stock price decline from January 2025 levels reflects investor skepticism about the pace of clinical progress relative to cash consumption [1]. Pre-revenue biotechs carry inherent dilution risk if additional capital raises are needed beyond the current 2028 runway, and the $278M market cap offers limited margin of safety against a Phase 3 miss.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THRIVE-3 Phase 3 interim data expected 2H 2026 could validate TARA-002 efficacy in lymphatic malformations and de-risk the BLA submission timeline</w:t>
      </w:r>
    </w:p>
    <w:p>
      <w:pPr>
        <w:spacing w:before="40" w:after="40"/>
        <w:ind w:left="283"/>
      </w:pPr>
      <w:r>
        <w:rPr>
          <w:rFonts w:ascii="Calibri" w:hAnsi="Calibri"/>
          <w:b/>
          <w:color w:val="4A6B25"/>
          <w:sz w:val="20"/>
        </w:rPr>
        <w:t xml:space="preserve">2. </w:t>
      </w:r>
      <w:r>
        <w:rPr>
          <w:rFonts w:ascii="Calibri" w:hAnsi="Calibri"/>
          <w:b w:val="0"/>
          <w:color w:val="3A4A28"/>
          <w:sz w:val="20"/>
        </w:rPr>
        <w:t>ADVANCED-3 registrational trial initiation in 2H 2026 for BCG-unresponsive NMIBC, expanding the addressable market for TARA-002 into a larger oncology indication</w:t>
      </w:r>
    </w:p>
    <w:p>
      <w:pPr>
        <w:spacing w:before="40" w:after="40"/>
        <w:ind w:left="283"/>
      </w:pPr>
      <w:r>
        <w:rPr>
          <w:rFonts w:ascii="Calibri" w:hAnsi="Calibri"/>
          <w:b/>
          <w:color w:val="4A6B25"/>
          <w:sz w:val="20"/>
        </w:rPr>
        <w:t xml:space="preserve">3. </w:t>
      </w:r>
      <w:r>
        <w:rPr>
          <w:rFonts w:ascii="Calibri" w:hAnsi="Calibri"/>
          <w:b w:val="0"/>
          <w:color w:val="3A4A28"/>
          <w:sz w:val="20"/>
        </w:rPr>
        <w:t>BLA submission for TARA-002 in lymphatic malformations planned for 2H 2027, representing the first potential path to FDA approval and commercial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pipeline risk — TARA-002 failure in any registrational trial would eliminate the core investment thesis with no backup program to sustain valuation</w:t>
      </w:r>
    </w:p>
    <w:p>
      <w:pPr>
        <w:spacing w:before="40" w:after="40"/>
        <w:ind w:left="283"/>
      </w:pPr>
      <w:r>
        <w:rPr>
          <w:rFonts w:ascii="Calibri" w:hAnsi="Calibri"/>
          <w:b/>
          <w:color w:val="4A6B25"/>
          <w:sz w:val="20"/>
        </w:rPr>
        <w:t xml:space="preserve">2. </w:t>
      </w:r>
      <w:r>
        <w:rPr>
          <w:rFonts w:ascii="Calibri" w:hAnsi="Calibri"/>
          <w:b w:val="0"/>
          <w:color w:val="3A4A28"/>
          <w:sz w:val="20"/>
        </w:rPr>
        <w:t>Cash burn of ~$71M annually against zero revenue creates dilution risk if Phase 3 timelines extend beyond the 2028 cash runway, requiring capital raises at potentially depressed prices</w:t>
      </w:r>
    </w:p>
    <w:p>
      <w:pPr>
        <w:spacing w:before="40" w:after="40"/>
        <w:ind w:left="283"/>
      </w:pPr>
      <w:r>
        <w:rPr>
          <w:rFonts w:ascii="Calibri" w:hAnsi="Calibri"/>
          <w:b/>
          <w:color w:val="4A6B25"/>
          <w:sz w:val="20"/>
        </w:rPr>
        <w:t xml:space="preserve">3. </w:t>
      </w:r>
      <w:r>
        <w:rPr>
          <w:rFonts w:ascii="Calibri" w:hAnsi="Calibri"/>
          <w:b w:val="0"/>
          <w:color w:val="3A4A28"/>
          <w:sz w:val="20"/>
        </w:rPr>
        <w:t>39% stock price decline from 2025 levels signals erosion of investor confidence in clinical execution timelines, and the micro-cap status ($278M market cap) limits institutional sponsorship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Protara develops novel cell therapies requiring physical manufacturing, human clinical trials, and FDA regulatory approval — AI cannot substitute for biological drug development, patient dosing, or clinical safety monitoring. The bladder cancer and lymphatic malformation treatment spaces involve complex surgical and immunological interventions that are structurally immune to AI displacement. If anything, AI may accelerate aspects of clinical trial design and patient identification, increasing demand for novel therapies rather than threatening them [2]. AI Opportunity (0/1): No AI-derived revenue. Protara does not generate any revenue from AI products or services; the company is pre-revenue across all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Protara Therapeutics (TARA) Stock Price &amp; Statistics — StockAnalysis, TipRanks,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Protara Therapeutics Highlights Recent Updates and Anticipated 2026 Milestones — ir.protaratx.com, January 2026</w:t>
      </w:r>
    </w:p>
    <w:p>
      <w:pPr>
        <w:spacing w:before="20" w:after="20"/>
        <w:ind w:left="170"/>
      </w:pPr>
      <w:r>
        <w:rPr>
          <w:rFonts w:ascii="Calibri" w:hAnsi="Calibri"/>
          <w:b/>
          <w:color w:val="4A6B25"/>
          <w:sz w:val="15"/>
        </w:rPr>
        <w:t xml:space="preserve">3. </w:t>
      </w:r>
      <w:r>
        <w:rPr>
          <w:rFonts w:ascii="Calibri" w:hAnsi="Calibri"/>
          <w:b w:val="0"/>
          <w:color w:val="3A4A28"/>
          <w:sz w:val="17"/>
        </w:rPr>
        <w:t>Protara Therapeutics Q1 2026 Financial Results — StockTitan/SEC Filing, May 13, 2026</w:t>
      </w:r>
    </w:p>
    <w:p>
      <w:pPr>
        <w:spacing w:before="20" w:after="20"/>
        <w:ind w:left="170"/>
      </w:pPr>
      <w:r>
        <w:rPr>
          <w:rFonts w:ascii="Calibri" w:hAnsi="Calibri"/>
          <w:b/>
          <w:color w:val="4A6B25"/>
          <w:sz w:val="15"/>
        </w:rPr>
        <w:t xml:space="preserve">4. </w:t>
      </w:r>
      <w:r>
        <w:rPr>
          <w:rFonts w:ascii="Calibri" w:hAnsi="Calibri"/>
          <w:b w:val="0"/>
          <w:color w:val="3A4A28"/>
          <w:sz w:val="17"/>
        </w:rPr>
        <w:t>Protara Therapeutics Named 2026 Best Places to Work Winner by BioSpace — ir.protaratx.com, 2026</w:t>
      </w:r>
    </w:p>
    <w:p>
      <w:pPr>
        <w:spacing w:before="20" w:after="20"/>
        <w:ind w:left="170"/>
      </w:pPr>
      <w:r>
        <w:rPr>
          <w:rFonts w:ascii="Calibri" w:hAnsi="Calibri"/>
          <w:b/>
          <w:color w:val="4A6B25"/>
          <w:sz w:val="15"/>
        </w:rPr>
        <w:t xml:space="preserve">5. </w:t>
      </w:r>
      <w:r>
        <w:rPr>
          <w:rFonts w:ascii="Calibri" w:hAnsi="Calibri"/>
          <w:b w:val="0"/>
          <w:color w:val="3A4A28"/>
          <w:sz w:val="17"/>
        </w:rPr>
        <w:t>Protara Therapeutics Leadership &amp; About Us — protaratx.com,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Jacqueline Zummo Insider Selling — MarketBeat/Benzinga, March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