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TGT</w:t>
      </w:r>
      <w:r>
        <w:rPr>
          <w:rFonts w:ascii="Calibri" w:hAnsi="Calibri"/>
          <w:b/>
          <w:color w:val="1A2010"/>
          <w:sz w:val="40"/>
        </w:rPr>
        <w:t xml:space="preserve">  Target Corporation</w:t>
      </w:r>
    </w:p>
    <w:p>
      <w:pPr>
        <w:spacing w:after="120"/>
      </w:pPr>
      <w:r>
        <w:rPr>
          <w:rFonts w:ascii="Calibri" w:hAnsi="Calibri"/>
          <w:b/>
          <w:color w:val="6E8450"/>
          <w:sz w:val="18"/>
        </w:rPr>
        <w:t>DIVIDEND SLEEVE · 2026-08-24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NYSE · United States</w:t>
      </w:r>
    </w:p>
    <w:p>
      <w:pPr>
        <w:spacing w:after="80"/>
      </w:pPr>
      <w:r>
        <w:rPr>
          <w:rFonts w:ascii="Calibri" w:hAnsi="Calibri"/>
          <w:b w:val="0"/>
          <w:color w:val="3A4A28"/>
          <w:sz w:val="20"/>
        </w:rPr>
        <w:t>Target Corporation operates as a general merchandise retailer in the United States with nearly 2,000 stores, offering apparel, beauty, food &amp; beverage, electronics, home, and household essentials through stores and Target.com. Founded in 1902, the company is a Dividend King on track for its 55th consecutive year of dividend increases in 2026. Michael Fiddelke became CEO in February 2026 after 23 years at Target, succeeding Brian Cornell. Headquartered in Minneapolis, Minnesota.</w:t>
      </w:r>
    </w:p>
    <w:p>
      <w:r>
        <w:rPr>
          <w:rFonts w:ascii="Calibri" w:hAnsi="Calibri"/>
          <w:b/>
          <w:color w:val="6E8450"/>
          <w:sz w:val="18"/>
        </w:rPr>
        <w:t>415,000 Employees · https://corporate.target.com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Target has not undergone a transformative pivot in the last 5 years; the business model remains fundamentally unchanged, with incremental digital and fulfillment enhancements. Q2 2026 showed the clearest signs of a turnaround — net sales of $26.5B (+5.3% YoY) and comparable sales of +3.8%, beating the 2.4% consensus estimate, with all six core merchandise categories posting gains [1]. AI Deployment (1/2): Target deployed 'Store Companion,' a GenAI chatbot, across roughly 2,000 stores and issued 10,000+ internal AI licenses under new CEO Fiddelke's Enterprise Acceleration Office, and assembled an AI-enabled merchant roundtable to speed assortment and buying decisions [2]. No quantified revenue or cost savings from AI have been reported. Market Share (1/2): Comparable sales beating estimates suggests stabilization after 2025's boycott-driven traffic losses, but Target remains a share-loser relative to Walmart and Costco over the trailing multi-year period. Product Pipeline (1/2): $2B+ in FY2026 capex for store remodels and technology, continued Target Circle 360 membership growth, and a 'design-forward renaissance' repositioning were announced, but specific new revenue streams with dates remain limited [1]. R&amp;D Intensity (0/1): As a retailer, Target's technology spend is below tech-forward peers with no disclosed R&amp;D intensity metric.</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Target's purpose — 'to help all families discover the joy of everyday life' — is generic and interchangeable with any mass retailer; it does not articulate a distinctive vision of a better future beyond customer satisfaction. Community Impact (1/2): Target maintains general corporate philanthropy through the Target Foundation and community giving programs, but without the distinctive scale or visibility of peers, and 2025's DEI rollback (exiting the Human Rights Campaign's Corporate Equality Index, scaling back Pride merchandise) further undercuts community-impact credibility [3]. Employee Retention (0/2): Reports describe a highly political store-leadership environment with limited upward mobility and below-average work-life balance; the CEO transition to Fiddelke included leadership and staffing cuts, adding organizational uncertainty [3][4]. Insider Buying (0/2): Former CEO Cornell sold 50,000 shares (~$6.49M) around the leadership transition, part of roughly $12.8M in net insider selling with zero recorded purchases over a recent 3-month window — a bearish signal from leadership rather than evidence of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Target's Dividend King status (on track for 55 consecutive years of increases, a 5-year dividend CAGR of ~15.9%) scores at or near the maximum on both dividend-history metrics [5]. ROE of 26.41% clears the 15% target, and Forward P/E of 17.81x scores near 1.0. Payout ratio of 48.12% is reasonable. The primary drags are profit margin of 4.08% (well below the 20% target — structurally thin for discount retail), a nearly flat 5-year revenue CAGR of 0.32%, and TTM revenue growth of just 1.96% despite the stronger Q2 2026 print, alongside D/E of 107%. Q2 2026 showed clear improvement with revenue up 5.3% YoY and comparable sales up 3.8%, beating estimates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Target plays a largely finite game — optimizing for quarterly comparable sales, reversing DEI and Pride commitments under political and consumer pressure without articulating a renewed principled stance, and pursuing a recovery through cost investment and operational execution rather than purpose-driven transformation. The CEO transition from Cornell to Fiddelke in February 2026 defused an active boycott through dialogue but produced no new policy commitments, reinforcing a pattern of reactive rather than principled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Target's purpose of helping families 'discover the joy of everyday life' is generic and interchangeable with any retailer. The company's 2025 reversal on DEI programs and Pride merchandise under political pressure — after previously promoting them — and the subsequent boycott resolution in March 2026 'without any new policy commitments' reveal a cause driven by external pressure management rather than internal conviction [3]. Sinek would note that a genuine Just Cause is not abandoned, nor left unclarified, when the cost becomes real.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Fiddelke's 23-year rise from intern to CEO reflects a real internal-promotion culture and leadership bench strength. However, the new CEO's leadership shakeup and staffing cuts, combined with reports of a highly political store-leadership environment and below-average work-life balance, point to organizational strain rather than exceptional psychological safety [3][4].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Target's competitive language focuses on regaining share and 'winning' against Walmart, Costco, and Amazon rather than framing rivals' strengths as a source of self-improvement. Management commentary during the boycott period emphasized defending traffic and share rather than learning from competitors who maintained their commitments through the same period.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Target has shown incremental flexibility — Target Circle 360 membership growth, an 8.7% comparable digital sales increase in Q2 2026, and a 'design-forward renaissance' repositioning under Fiddelke [1]. These are evolutionary adjustments to an unchanged core business model rather than a transformative pivot; the recovery strategy leans on execution and store remodels rather than reinventing what Target 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$2B+ FY2026 capex investment during a period of prior sales weakness shows some willingness to invest for the long term [1]. However, Target's handling of the DEI/Pride controversy — reversing course under pressure, then declining to make any new commitment either direction after the boycott ended — is the opposite of Sinek's definition of courage, which requires holding to a principle when the cost is real rather than seeking to minimize controversy in both directions.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Target trades at 17.81x forward earnings with a 2.81% dividend yield backed by an on-track 55th consecutive year of dividend increases and a strong ~15.9% 5-year dividend CAGR [5]. Q2 2026 marked the clearest turnaround signal yet: net sales of $26.5B (+5.3% YoY) with comparable sales of +3.8% beating the 2.4% consensus, comparable digital sales up 8.7%, and gains across all six core merchandise categories, prompting a raised full-year sales-growth guide to about 5% [1]. New CEO Fiddelke's Enterprise Acceleration Office and Store Companion GenAI rollout across ~2,000 stores signal a genuine, if early, push toward AI-enabled efficiency [2]. ROE of 26.41% and a manageable 48.12% payout ratio support continued dividend durability.</w:t>
      </w:r>
    </w:p>
    <w:p>
      <w:pPr>
        <w:spacing w:after="120"/>
      </w:pPr>
      <w:r>
        <w:rPr>
          <w:rFonts w:ascii="Calibri" w:hAnsi="Calibri"/>
          <w:b w:val="0"/>
          <w:color w:val="3A4A28"/>
          <w:sz w:val="20"/>
        </w:rPr>
        <w:t>The bear case remains significant. Profit margin of 4.08% is structurally thin, leaving little room for execution error, and the 5-year revenue CAGR of just 0.32% reflects multi-year stagnation that a single strong quarter has not yet reversed. The 2025 DEI/Pride boycott — which reportedly cost 33% off the stock at its worst and drove foot traffic down as much as 14% in a single month — ended in March 2026 without any new policy commitments from the company, leaving the underlying trust deficit with both progressive and conservative consumer segments unresolved [3]. Roughly $12.8M in net insider selling with zero purchases signals limited leadership conviction at current prices [4]. Competition from Walmart and Amazon's AI-powered e-commerce continues to pressure the discount retail model structurally, and the Inspire MISALIGNED score (-83) reflects deep faith-alignment concerns that will exclude Target from many values-based portfolios regardless of operating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2026's 3.8% comparable sales beat and 8.7% digital comp growth sustaining through the back half of FY2026, validating the turnaround and supporting the raised ~5% full-year sales guidance</w:t>
      </w:r>
    </w:p>
    <w:p>
      <w:pPr>
        <w:spacing w:before="40" w:after="40"/>
        <w:ind w:left="283"/>
      </w:pPr>
      <w:r>
        <w:rPr>
          <w:rFonts w:ascii="Calibri" w:hAnsi="Calibri"/>
          <w:b/>
          <w:color w:val="4A6B25"/>
          <w:sz w:val="20"/>
        </w:rPr>
        <w:t xml:space="preserve">2. </w:t>
      </w:r>
      <w:r>
        <w:rPr>
          <w:rFonts w:ascii="Calibri" w:hAnsi="Calibri"/>
          <w:b w:val="0"/>
          <w:color w:val="3A4A28"/>
          <w:sz w:val="20"/>
        </w:rPr>
        <w:t>Store Companion GenAI rollout and the Enterprise Acceleration Office delivering quantifiable cost or productivity gains across the ~2,000-store fleet, which would meaningfully improve the structurally thin 4.08% profit margin</w:t>
      </w:r>
    </w:p>
    <w:p>
      <w:pPr>
        <w:spacing w:before="40" w:after="40"/>
        <w:ind w:left="283"/>
      </w:pPr>
      <w:r>
        <w:rPr>
          <w:rFonts w:ascii="Calibri" w:hAnsi="Calibri"/>
          <w:b/>
          <w:color w:val="4A6B25"/>
          <w:sz w:val="20"/>
        </w:rPr>
        <w:t xml:space="preserve">3. </w:t>
      </w:r>
      <w:r>
        <w:rPr>
          <w:rFonts w:ascii="Calibri" w:hAnsi="Calibri"/>
          <w:b w:val="0"/>
          <w:color w:val="3A4A28"/>
          <w:sz w:val="20"/>
        </w:rPr>
        <w:t>Target Circle 360 membership growth and category-wide gains (Fun 101/hardlines, food &amp; beverage, beauty) broadening the recovery beyond a single quarter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revenue stagnation — 5-year CAGR of just 0.32% — means a single strong quarter is not yet proof of a durable trend reversal against Walmart and Costco</w:t>
      </w:r>
    </w:p>
    <w:p>
      <w:pPr>
        <w:spacing w:before="40" w:after="40"/>
        <w:ind w:left="283"/>
      </w:pPr>
      <w:r>
        <w:rPr>
          <w:rFonts w:ascii="Calibri" w:hAnsi="Calibri"/>
          <w:b/>
          <w:color w:val="4A6B25"/>
          <w:sz w:val="20"/>
        </w:rPr>
        <w:t xml:space="preserve">2. </w:t>
      </w:r>
      <w:r>
        <w:rPr>
          <w:rFonts w:ascii="Calibri" w:hAnsi="Calibri"/>
          <w:b w:val="0"/>
          <w:color w:val="3A4A28"/>
          <w:sz w:val="20"/>
        </w:rPr>
        <w:t>The DEI/Pride boycott ended in March 2026 without new policy commitments, leaving the underlying trust deficit with both progressive and conservative shoppers unresolved and vulnerable to renewed backlash</w:t>
      </w:r>
    </w:p>
    <w:p>
      <w:pPr>
        <w:spacing w:before="40" w:after="40"/>
        <w:ind w:left="283"/>
      </w:pPr>
      <w:r>
        <w:rPr>
          <w:rFonts w:ascii="Calibri" w:hAnsi="Calibri"/>
          <w:b/>
          <w:color w:val="4A6B25"/>
          <w:sz w:val="20"/>
        </w:rPr>
        <w:t xml:space="preserve">3. </w:t>
      </w:r>
      <w:r>
        <w:rPr>
          <w:rFonts w:ascii="Calibri" w:hAnsi="Calibri"/>
          <w:b w:val="0"/>
          <w:color w:val="3A4A28"/>
          <w:sz w:val="20"/>
        </w:rPr>
        <w:t>Structurally thin 4.08% profit margin combined with ~$12.8M in net insider selling and zero insider purchases raises questions about leadership conviction in the turnaround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Target's core business — operating physical stores, managing supply chains, and selling physical goods — is structurally protected from AI substitution; customers cannot buy groceries, clothing, or household essentials from an AI model [1]. However, AI-powered e-commerce and conversational commerce (Amazon in particular) continue to accelerate the shift away from brick-and-mortar and could further commoditize product discovery and price comparison, pressuring margins over time. AI Opportunity (0/1): Target has deployed Store Companion across ~2,000 stores and issued 10,000+ internal AI licenses, with an AI-enabled merchant roundtable supporting assortment and buying decisions, but no quantifiable AI-driven revenue or cost savings have been reported — the deployment remains operational rather than revenue-generating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Target Corp (TGT) Q2 2026 Earnings Call Highlights — comparable sales +3.8%, raised guidance — GuruFocus, CNBC, August 2026</w:t>
      </w:r>
    </w:p>
    <w:p>
      <w:pPr>
        <w:spacing w:before="20" w:after="20"/>
        <w:ind w:left="170"/>
      </w:pPr>
      <w:r>
        <w:rPr>
          <w:rFonts w:ascii="Calibri" w:hAnsi="Calibri"/>
          <w:b/>
          <w:color w:val="4A6B25"/>
          <w:sz w:val="15"/>
        </w:rPr>
        <w:t xml:space="preserve">2. </w:t>
      </w:r>
      <w:r>
        <w:rPr>
          <w:rFonts w:ascii="Calibri" w:hAnsi="Calibri"/>
          <w:b w:val="0"/>
          <w:color w:val="3A4A28"/>
          <w:sz w:val="17"/>
        </w:rPr>
        <w:t>Target Corporation — Store Companion GenAI, Enterprise Acceleration Office, AI merchant roundtable — corporate.target.com, 2026</w:t>
      </w:r>
    </w:p>
    <w:p>
      <w:pPr>
        <w:spacing w:before="20" w:after="20"/>
        <w:ind w:left="170"/>
      </w:pPr>
      <w:r>
        <w:rPr>
          <w:rFonts w:ascii="Calibri" w:hAnsi="Calibri"/>
          <w:b/>
          <w:color w:val="4A6B25"/>
          <w:sz w:val="15"/>
        </w:rPr>
        <w:t xml:space="preserve">3. </w:t>
      </w:r>
      <w:r>
        <w:rPr>
          <w:rFonts w:ascii="Calibri" w:hAnsi="Calibri"/>
          <w:b w:val="0"/>
          <w:color w:val="3A4A28"/>
          <w:sz w:val="17"/>
        </w:rPr>
        <w:t>Target DEI Boycott: impact, foot traffic decline, March 2026 resolution without policy change — ESG Dive, Fortune, HR Grapevine, Newsweek, 2025-2026</w:t>
      </w:r>
    </w:p>
    <w:p>
      <w:pPr>
        <w:spacing w:before="20" w:after="20"/>
        <w:ind w:left="170"/>
      </w:pPr>
      <w:r>
        <w:rPr>
          <w:rFonts w:ascii="Calibri" w:hAnsi="Calibri"/>
          <w:b/>
          <w:color w:val="4A6B25"/>
          <w:sz w:val="15"/>
        </w:rPr>
        <w:t xml:space="preserve">4. </w:t>
      </w:r>
      <w:r>
        <w:rPr>
          <w:rFonts w:ascii="Calibri" w:hAnsi="Calibri"/>
          <w:b w:val="0"/>
          <w:color w:val="3A4A28"/>
          <w:sz w:val="17"/>
        </w:rPr>
        <w:t>Target insider trading activity — CEO Cornell $6.49M share sale, $12.8M net selling — MarketBeat, GuruFocus, 2026</w:t>
      </w:r>
    </w:p>
    <w:p>
      <w:pPr>
        <w:spacing w:before="20" w:after="20"/>
        <w:ind w:left="170"/>
      </w:pPr>
      <w:r>
        <w:rPr>
          <w:rFonts w:ascii="Calibri" w:hAnsi="Calibri"/>
          <w:b/>
          <w:color w:val="4A6B25"/>
          <w:sz w:val="15"/>
        </w:rPr>
        <w:t xml:space="preserve">5. </w:t>
      </w:r>
      <w:r>
        <w:rPr>
          <w:rFonts w:ascii="Calibri" w:hAnsi="Calibri"/>
          <w:b w:val="0"/>
          <w:color w:val="3A4A28"/>
          <w:sz w:val="17"/>
        </w:rPr>
        <w:t>Target Corporation dividend history — 55th consecutive year of increases, 1.8% June 2026 increase, 5yr dividend CAGR — corporate.target.com, StockTitan, June 2026</w:t>
      </w:r>
    </w:p>
    <w:p>
      <w:pPr>
        <w:spacing w:before="20" w:after="20"/>
        <w:ind w:left="170"/>
      </w:pPr>
      <w:r>
        <w:rPr>
          <w:rFonts w:ascii="Calibri" w:hAnsi="Calibri"/>
          <w:b/>
          <w:color w:val="4A6B25"/>
          <w:sz w:val="15"/>
        </w:rPr>
        <w:t xml:space="preserve">6. </w:t>
      </w:r>
      <w:r>
        <w:rPr>
          <w:rFonts w:ascii="Calibri" w:hAnsi="Calibri"/>
          <w:b w:val="0"/>
          <w:color w:val="3A4A28"/>
          <w:sz w:val="17"/>
        </w:rPr>
        <w:t>Stock Analysis — TGT Financial Ratios and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