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TIGO</w:t>
      </w:r>
      <w:r>
        <w:rPr>
          <w:rFonts w:ascii="Calibri" w:hAnsi="Calibri"/>
          <w:b/>
          <w:color w:val="1A2010"/>
          <w:sz w:val="40"/>
        </w:rPr>
        <w:t xml:space="preserve">  Millicom International Cellular S.A.</w:t>
      </w:r>
    </w:p>
    <w:p>
      <w:pPr>
        <w:spacing w:after="120"/>
      </w:pPr>
      <w:r>
        <w:rPr>
          <w:rFonts w:ascii="Calibri" w:hAnsi="Calibri"/>
          <w:b/>
          <w:color w:val="6E8450"/>
          <w:sz w:val="18"/>
        </w:rPr>
        <w:t>GROWTH SLEEVE · 2026-08-04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Luxembourg</w:t>
      </w:r>
    </w:p>
    <w:p>
      <w:pPr>
        <w:spacing w:after="80"/>
      </w:pPr>
      <w:r>
        <w:rPr>
          <w:rFonts w:ascii="Calibri" w:hAnsi="Calibri"/>
          <w:b w:val="0"/>
          <w:color w:val="3A4A28"/>
          <w:sz w:val="20"/>
        </w:rPr>
        <w:t>Millicom International Cellular S.A. operates under the TIGO brand across nine Latin American markets including Guatemala, Honduras, El Salvador, Colombia, Bolivia, Paraguay, Panama, Nicaragua, and Costa Rica. The company provides mobile, fixed broadband, cable TV, and mobile financial services (TIGO Money) to over 50 million customers. Following 2025-2026 acquisitions of Coltel (Colombia), Ecuador, and Uruguay operations, Millicom is one of the largest telecom operators in Central and South America with a market cap of approximately $13.3 billion.</w:t>
      </w:r>
    </w:p>
    <w:p>
      <w:r>
        <w:rPr>
          <w:rFonts w:ascii="Calibri" w:hAnsi="Calibri"/>
          <w:b/>
          <w:color w:val="6E8450"/>
          <w:sz w:val="18"/>
        </w:rPr>
        <w:t>35,000 Employees · https://www.millicom.com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Millicom executed a transformative M&amp;A strategy consolidating its Latin American footprint — acquiring Coltel in Colombia and expanding into Ecuador and Uruguay — reshaping the company from individual market operators into an integrated pan-LatAm telecom platform with Q1 2026 revenue of $1.985B (up 45.1% YoY) [1][2]. TIGO Money mobile financial services platform added a digital payments revenue stream across Central America. AI Deployment (0/2): No AI-powered products shipping to customers and no quantified AI-driven efficiency gains reported in earnings materials [1]. Market Share (2/2): TIGO holds #1 or #2 mobile and broadband positions in Guatemala, Honduras, El Salvador, Bolivia, and Paraguay, and became a top-3 player in Colombia following the Coltel acquisition, serving over 50 million customers across the region [2]. Product Pipeline (0/2): No next-generation product launches announced with specific timelines; strategic focus remains on integration and synergy extraction from acquired operations [1]. R&amp;D Intensity (0/1): Telecom operators typically invest below 2% of revenue in R&amp;D, well below technology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Millicom's purpose — 'Building the Digital Highways that Connect People, Improve Lives, and Develop Communities' — identifies a clear connection between telecommunications and social impact in underserved Latin American markets, but is not distinctly differentiated from other telecom operators' digital inclusion narratives [4]. Community Impact (1/2): Millicom runs digital education initiatives and community connectivity programs across Latin America, with ESG reporting aligned to GRI and SASB standards and annual CDP climate disclosures, but specific dollar amounts for community investment are not publicly detailed [4]. Employee Retention (1/2): TIGO operations ranked 13th in the Top 25 Best Multinational Workplaces in Latin America (Great Place to Work 2020), and the 'Sangre TIGO' cultural framework demonstrates organizational intentionality, though Glassdoor reviews cite political dynamics and limited growth opportunities in some departments [3]. Insider Buying (0/2): No significant net insider buying identified in the last 12 months; management team average tenure is only 3.6 years, with CEO Marcelo Benitez appointed June 2024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$1.985B revenue (up 45.1% YoY reported, 4.9% organic) with adjusted EBITDA of $857M at 43.2% margin and equity free cash flow of $225M, up 66.5% YoY [1]. Full-year 2025 achieved record $1.3B net profit and $916M EFCF [2]. ROE of 36.2% reflects strong capital efficiency despite elevated D/E of 260% driven by $7.6B net debt post-acquisitions. Forward P/E of 18.96 and PEG of 0.63 indicate attractive valuation relative to growth prospects. Profit margin of 23.4% is excellent for the telecom sector. The high leverage (2.76x net debt/EBITDA post-acquisitions) is the primary infrastructure weakness, with the company targeting 2.5x by year-end 2026 [1]. 5-year revenue CAGR of approximately 8% reflects steady growth supplemented by acquisitions.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Millicom demonstrates a partially infinite orientation through its commitment to building long-term digital infrastructure in Latin America, but the frequent leadership turnover (CEO appointed June 2024, average management tenure 3.6 years, board tenure 1.8 years) and acquisition-driven growth strategy suggest a company still searching for stable long-term organizational identity. The purpose of connecting underserved communities is genuine but hasn't been tested through multi-decade consistency under stable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Millicom's purpose of building digital highways to connect and develop Latin American communities reflects genuine intentionality beyond profit, particularly in underserved markets where digital connectivity has real social development impact [2][4]. Leadership references this cause in strategic decisions, and the expansion into new markets aligns with broadening digital access. However, the cause hasn't been validated through multi-decade consistency under current leadership — CEO tenure is under 2 years, average management tenure is 3.6 years, and the company's strategic direction has shifted several times (Africa exit, LatAm consolidation) [5].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'Sangre TIGO' cultural framework and Great Place to Work recognition (Top 25 Multinational Workplaces in LatAm, 13th place in 2020) suggest organizational intentionality around trust and culture [3]. However, Glassdoor reviews cite political dynamics, limited growth opportunities in certain departments, and leadership that is not always supportive. Short average management tenure of 3.6 years indicates some instability at the leadership level, which can erode organizational trust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management commentary; the acquisition-driven strategy of consolidating market share across Latin America — acquiring competitors in Colombia, Ecuador, and Uruguay — reads more as competitive dominance and market share capture than learning from rivals or using competitive pressure for self-improvement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Millicom evolved from a mobile-only operator to an integrated fixed-mobile-financial services platform across Latin America, including the launch of TIGO Money for digital payments and the strategic exit from African markets to focus entirely on LatAm [2]. This represents meaningful strategic evolution driven by market opportunity and capital allocation discipline, though the changes were incremental adaptations rather than transformative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take on $7.6B in net debt (2.76x leverage) to acquire and consolidate Latin American operations demonstrates willingness to accept significant financial risk for long-term market positioning [1]. The 2026 EFCF target of $900M+ provides a path to deleveraging. However, telecom M&amp;A consolidation is a common industry playbook rather than a uniquely courageous bet, and the leverage creates real financial risk if integration falters.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Millicom delivered strong Q1 2026 results with $1.985B revenue (up 45.1% YoY), $857M adjusted EBITDA at 43.2% margin, and $225M equity free cash flow (up 66.5% YoY), driven by the consolidation of Coltel Colombia and new operations in Ecuador and Uruguay [1]. Full-year 2025 achieved $1.3B net profit and record $916M EFCF [2]. At a forward P/E of 18.96 and PEG of 0.63, the stock offers compelling value relative to growth, with ROE of 36.2% and profit margins of 23.4%. The 2026 EFCF target of $900M+ and year-end leverage target of 2.5x provide a clear path to capital return and deleveraging. TIGO's dominant market positions in Central America and growing Colombian footprint create a durable franchise with expanding digital services revenue.</w:t>
      </w:r>
    </w:p>
    <w:p>
      <w:pPr>
        <w:spacing w:after="120"/>
      </w:pPr>
      <w:r>
        <w:rPr>
          <w:rFonts w:ascii="Calibri" w:hAnsi="Calibri"/>
          <w:b w:val="0"/>
          <w:color w:val="3A4A28"/>
          <w:sz w:val="20"/>
        </w:rPr>
        <w:t>The primary concern is the elevated leverage — $7.6B net debt at 2.76x post-acquisitions creates financial vulnerability if integration execution falters or LatAm macroeconomic conditions deteriorate [1]. Organic service revenue growth of only 4.9% (versus 45.1% reported) reveals that underlying growth momentum is modest, and the company's expansion has been driven primarily by M&amp;A rather than organic market share gains. Currency risk across nine LatAm markets, political instability in several operating countries (Guatemala, Honduras, Bolivia), and the short tenure of the current management team (CEO appointed June 2024, average management tenure 3.6 years) add execution uncertainty [5]. The Inspire Impact score of -62 (MISALIGNED) due to sexually explicit content attributions may limit suitability for faith-aligned portfolios.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integration of Coltel Colombia operations expected to unlock significant annual synergies, with Q1 2026 already contributing $119M incremental EBITDA from acquisitions [1]</w:t>
      </w:r>
    </w:p>
    <w:p>
      <w:pPr>
        <w:spacing w:before="40" w:after="40"/>
        <w:ind w:left="283"/>
      </w:pPr>
      <w:r>
        <w:rPr>
          <w:rFonts w:ascii="Calibri" w:hAnsi="Calibri"/>
          <w:b/>
          <w:color w:val="4A6B25"/>
          <w:sz w:val="20"/>
        </w:rPr>
        <w:t xml:space="preserve">2. </w:t>
      </w:r>
      <w:r>
        <w:rPr>
          <w:rFonts w:ascii="Calibri" w:hAnsi="Calibri"/>
          <w:b w:val="0"/>
          <w:color w:val="3A4A28"/>
          <w:sz w:val="20"/>
        </w:rPr>
        <w:t>Deleveraging from 2.76x to 2.5x net debt/EBITDA by year-end 2026, supported by $900M+ EFCF target, potentially enabling dividend increases or share repurchases [1]</w:t>
      </w:r>
    </w:p>
    <w:p>
      <w:pPr>
        <w:spacing w:before="40" w:after="40"/>
        <w:ind w:left="283"/>
      </w:pPr>
      <w:r>
        <w:rPr>
          <w:rFonts w:ascii="Calibri" w:hAnsi="Calibri"/>
          <w:b/>
          <w:color w:val="4A6B25"/>
          <w:sz w:val="20"/>
        </w:rPr>
        <w:t xml:space="preserve">3. </w:t>
      </w:r>
      <w:r>
        <w:rPr>
          <w:rFonts w:ascii="Calibri" w:hAnsi="Calibri"/>
          <w:b w:val="0"/>
          <w:color w:val="3A4A28"/>
          <w:sz w:val="20"/>
        </w:rPr>
        <w:t>TIGO Money mobile financial services expansion across Central America, tapping into the region's large unbanked population for digital payments and lending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debt of $7.6B at 2.76x leverage creates financial fragility — integration delays, currency depreciation, or macroeconomic shocks in LatAm could strain debt service capacity [1]</w:t>
      </w:r>
    </w:p>
    <w:p>
      <w:pPr>
        <w:spacing w:before="40" w:after="40"/>
        <w:ind w:left="283"/>
      </w:pPr>
      <w:r>
        <w:rPr>
          <w:rFonts w:ascii="Calibri" w:hAnsi="Calibri"/>
          <w:b/>
          <w:color w:val="4A6B25"/>
          <w:sz w:val="20"/>
        </w:rPr>
        <w:t xml:space="preserve">2. </w:t>
      </w:r>
      <w:r>
        <w:rPr>
          <w:rFonts w:ascii="Calibri" w:hAnsi="Calibri"/>
          <w:b w:val="0"/>
          <w:color w:val="3A4A28"/>
          <w:sz w:val="20"/>
        </w:rPr>
        <w:t>Organic service revenue growth of only 4.9% in Q1 2026 suggests limited pricing power and competitive intensity in core markets, with reported growth inflated by acquisitions [1]</w:t>
      </w:r>
    </w:p>
    <w:p>
      <w:pPr>
        <w:spacing w:before="40" w:after="40"/>
        <w:ind w:left="283"/>
      </w:pPr>
      <w:r>
        <w:rPr>
          <w:rFonts w:ascii="Calibri" w:hAnsi="Calibri"/>
          <w:b/>
          <w:color w:val="4A6B25"/>
          <w:sz w:val="20"/>
        </w:rPr>
        <w:t xml:space="preserve">3. </w:t>
      </w:r>
      <w:r>
        <w:rPr>
          <w:rFonts w:ascii="Calibri" w:hAnsi="Calibri"/>
          <w:b w:val="0"/>
          <w:color w:val="3A4A28"/>
          <w:sz w:val="20"/>
        </w:rPr>
        <w:t>Political instability and regulatory risk across nine LatAm markets, combined with CEO tenure under 2 years and average management tenure of 3.6 years, raise execution and governance concerns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Millicom's core business — operating physical telecom networks, cell towers, fiber optic infrastructure, and spectrum licenses across nine Latin American markets — is structurally immune to AI substitution [1][2]. Physical network infrastructure, right-of-way agreements, and spectrum holdings cannot be replicated by software. AI adoption across Latin America will increase demand for data connectivity, directly benefiting TIGO's networks. Customer service and back-office functions face some AI automation potential, but these represent cost-saving opportunities rather than revenue displacement threats. The primary risk is that hyperscalers could eventually provide satellite-based connectivity that bypasses terrestrial networks, but this remains distant for dense urban LatAm markets. AI Opportunity (0/1): No quantifiable AI revenue reported; Millicom has not announced AI-powered products or services generating measurable revenue, and earnings materials do not reference AI-driven internal efficiency gains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Millicom (Tigo) Q1 2026 Earnings Release — GlobeNewsWire, May 12, 2026</w:t>
      </w:r>
    </w:p>
    <w:p>
      <w:pPr>
        <w:spacing w:before="20" w:after="20"/>
        <w:ind w:left="170"/>
      </w:pPr>
      <w:r>
        <w:rPr>
          <w:rFonts w:ascii="Calibri" w:hAnsi="Calibri"/>
          <w:b/>
          <w:color w:val="4A6B25"/>
          <w:sz w:val="15"/>
        </w:rPr>
        <w:t xml:space="preserve">2. </w:t>
      </w:r>
      <w:r>
        <w:rPr>
          <w:rFonts w:ascii="Calibri" w:hAnsi="Calibri"/>
          <w:b w:val="0"/>
          <w:color w:val="3A4A28"/>
          <w:sz w:val="17"/>
        </w:rPr>
        <w:t>Millicom (Tigo) 2025 Annual Report — Record Financial Results and Expanded Regional Footprint, March 24, 2026</w:t>
      </w:r>
    </w:p>
    <w:p>
      <w:pPr>
        <w:spacing w:before="20" w:after="20"/>
        <w:ind w:left="170"/>
      </w:pPr>
      <w:r>
        <w:rPr>
          <w:rFonts w:ascii="Calibri" w:hAnsi="Calibri"/>
          <w:b/>
          <w:color w:val="4A6B25"/>
          <w:sz w:val="15"/>
        </w:rPr>
        <w:t xml:space="preserve">3. </w:t>
      </w:r>
      <w:r>
        <w:rPr>
          <w:rFonts w:ascii="Calibri" w:hAnsi="Calibri"/>
          <w:b w:val="0"/>
          <w:color w:val="3A4A28"/>
          <w:sz w:val="17"/>
        </w:rPr>
        <w:t>Millicom Glassdoor Reviews and Culture Profile — Glassdoor,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Millicom ESG Reporting Center — millicom.com,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TIGO Key Statistics and Valuation,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