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TKO</w:t>
      </w:r>
      <w:r>
        <w:rPr>
          <w:rFonts w:ascii="Calibri" w:hAnsi="Calibri"/>
          <w:b/>
          <w:color w:val="1A2010"/>
          <w:sz w:val="40"/>
        </w:rPr>
        <w:t xml:space="preserve">  TKO Group Holdings, Inc.</w:t>
      </w:r>
    </w:p>
    <w:p>
      <w:pPr>
        <w:spacing w:after="120"/>
      </w:pPr>
      <w:r>
        <w:rPr>
          <w:rFonts w:ascii="Calibri" w:hAnsi="Calibri"/>
          <w:b/>
          <w:color w:val="6E8450"/>
          <w:sz w:val="18"/>
        </w:rPr>
        <w:t>GROWTH SLEEVE · 2026-08-09 · Inspire: 19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TKO Group Holdings, Inc. is a premium sports entertainment company formed through the 2023 merger of UFC and WWE under Endeavor Group. The company operates three segments: UFC (mixed martial arts promotion), WWE (professional wrestling entertainment), and IMG (sports marketing and events). TKO owns two of the most valuable live sports properties in the world, with combined revenue of $5.3B+ TTM.</w:t>
      </w:r>
    </w:p>
    <w:p>
      <w:r>
        <w:rPr>
          <w:rFonts w:ascii="Calibri" w:hAnsi="Calibri"/>
          <w:b/>
          <w:color w:val="6E8450"/>
          <w:sz w:val="18"/>
        </w:rPr>
        <w:t>5,000 Employees · https://www.tkogrp.com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TKO represents one of the most significant sports business transformations in recent history — the 2023 merger of UFC and WWE under Endeavor created a combined entity that has unlocked cross-selling, shared infrastructure, and negotiating leverage for media rights deals [1]. The integration of IMG, On Location, and PBR in 2025 further diversified the platform. UFC secured a transformative new Paramount content distribution agreement effective January 2026 that drove 29% revenue growth [1]. AI Deployment (0/2): No evidence of AI-powered products, services, or quantifiable AI-driven cost savings. TKO's business is fundamentally about live entertainment content creation and distribution, with technology serving operational support rather than product innovation. Market Share (2/2): UFC is the undisputed global leader in mixed martial arts with no comparable competitor, and WWE dominates professional wrestling entertainment worldwide [1]. Together, TKO controls two of the most valuable and irreplaceable sports media properties. Product Pipeline (1/2): UFC's White House event in 2026 demonstrated the brand's cultural cachet, and the Paramount deal provides multi-year media rights visibility [2]. WWE continues to expand live event programming. However, TKO does not have next-generation product categories in development. R&amp;D Intensity (1/1): TKO invests heavily in production quality, venue technology, and content creation, with $44.4M in CapEx H1 2026 supplemented by significant content investment embedded in operating costs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TKO's purpose centers on delivering premium live sports entertainment that creates unforgettable fan experiences and cultural moments. The UFC and WWE brands have demonstrated multi-decade staying power, transcending sport to become cultural institutions — UFC's White House event and WrestleMania's annual cultural impact validate this purpose through execution [1][2]. The mission is distinctive and deeply tied to brand identity. Community Impact (1/2): WWE has a long history of community programs including Make-A-Wish partnerships, military tributes, and community outreach, while UFC has invested in fighter development and global expansion of MMA [2]. These represent genuine community engagement tied to brand identity, though they are also marketing vehicles. Employee Retention (1/2): CEO Ari Emanuel has led since the 2023 formation, providing strategic continuity, and the retained WWE and UFC leadership teams (Triple H for WWE creative, Dana White for UFC) bring decades of institutional knowledge [3]. The sports entertainment industry attracts passionate employees who stay for the product. Insider Buying (1/2): TKO returned $1.3B+ to equity holders through buybacks and dividends in H1 2026, including an $800M accelerated share repurchase, signaling management conviction [1]. However, this is corporate capital return rather than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$1.547B grew 18% YoY with adjusted EBITDA of $649.9M at a 42% margin (+200bps YoY), demonstrating exceptional operating leverage for a content company [1]. The balance sheet is healthy with D/E of just 59%, well below the 70% target. Forward PEG of 1.12 suggests the market prices growth expectations reasonably. However, GAAP profit margin of 4.33% and ROE of 7.06% remain modest, reflecting the complex ownership structure with Endeavor, significant non-cash charges, and the high-cost nature of live entertainment production [4]. Free cash flow of $1.67B annualized is strong. Full-year guidance raised to $5.775-5.825B revenue and $2.275-2.305B adjusted EBITDA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TKO owns two brands with extraordinary cultural longevity — WWE has operated since 1952 and UFC since 1993, both surviving multiple near-death experiences to become dominant global franchises. Under Ari Emanuel's leadership, the merger reflects a bold, long-term strategic vision. However, the company's governance controversies (McMahon's resignation, fighter antitrust settlements) and the complex Endeavor ownership structure create tension between infinite game aspirations and finite game realities.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TKO's implicit cause — democratizing combat sports entertainment and creating transcendent cultural moments — has been validated by decades of execution across both WWE (70+ years of continuous operation) and UFC (30 years of growing MMA from underground to mainstream) [1][2]. These brands have survived ownership changes, near-bankruptcies, regulatory crackdowns, and cultural shifts. The persistence of fan loyalty across generations suggests the product serves a genuine human need for athletic competition and storytelling. However, the purpose is more implicit than articulated, and commercial maximization often takes priority over stated values.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TKO benefits from strong leadership continuity within each brand — Dana White has led UFC since 2001 and Triple H (Paul Levesque) oversees WWE creative, providing decades of institutional knowledge [3]. The integration of three organizations (UFC, WWE, IMG) under one structure demonstrates collaborative ambition. However, the forced resignation of Vince McMahon in January 2024 over sexual misconduct allegations created organizational trauma at WWE, and the fighter antitrust settlement revealed systemic labor trust issues within UFC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TKO's competitive positioning is fundamentally infinite — rather than trying to 'beat' traditional sports leagues, the company positions UFC and WWE as complementary entertainment in a broader ecosystem [1]. Management frames the competitive landscape as expanding the total addressable market for live sports entertainment rather than capturing share from NFL, NBA, or other leagues. The Paramount deal was structured to maximize reach rather than exclusively extract maximum fees.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UFC-WWE merger itself represents a transformative strategic pivot — combining two culturally distinct sports entertainment brands under one corporate structure required abandoning the separate identities that defined each organization for decades [1]. UFC's evolution from a controversial fringe sport to a mainstream premium content property represents one of the great business transformations in sports history. WWE's shift from primarily live event revenue to media rights-centric model demonstrates similar adaptability. The recent integration of IMG and On Location further demonstrates willingness to reinvent the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Ari Emanuel demonstrated strategic courage by orchestrating the UFC-WWE merger and subsequent IMG integration, creating a new category of sports entertainment conglomerate [3]. The decision to settle the UFC antitrust lawsuit for $375M rather than prolonging litigation showed pragmatic leadership [5]. However, the McMahon governance crisis exposed failures in leadership accountability, and the complex Endeavor ownership structure prioritizes financial engineering over operational simplicity.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TKO Group Holdings owns two of the most irreplaceable live sports entertainment properties in the world — UFC and WWE — with combined Q2 2026 revenue of $1.547B growing 18% YoY and adjusted EBITDA of $649.9M at an exceptional 42% margin [1]. The Paramount content distribution deal drove 29% UFC revenue growth, and the recently integrated IMG segment adds diversified sports marketing revenue. Full-year guidance was raised to $5.775-5.825B revenue and $2.275-2.305B adjusted EBITDA, with free cash flow of $1.67B supporting aggressive capital returns — $1.3B+ returned to shareholders in H1 2026 through buybacks and dividends [1]. The balance sheet is healthy at 59% D/E, and the stock's PEG of 1.12 reflects reasonable growth-adjusted valuation. Live sports content commands a scarcity premium in the streaming era, and TKO's dual brands are structurally undervalued relative to comparable sports franchises.</w:t>
      </w:r>
    </w:p>
    <w:p>
      <w:pPr>
        <w:spacing w:after="120"/>
      </w:pPr>
      <w:r>
        <w:rPr>
          <w:rFonts w:ascii="Calibri" w:hAnsi="Calibri"/>
          <w:b w:val="0"/>
          <w:color w:val="3A4A28"/>
          <w:sz w:val="20"/>
        </w:rPr>
        <w:t>The primary concern is valuation transparency — at 65x trailing earnings and 34.5x forward P/E, TKO is priced for flawless execution despite GAAP profit margin of just 4.33% and ROE of 7.06%, reflecting the complex Endeavor ownership structure with significant non-cash charges and minority interest flows [4]. The $4.66B gross debt, while manageable at 59% D/E, creates interest expense that suppresses net income relative to EBITDA. Governance risk remains elevated — Vince McMahon's January 2024 resignation over sexual misconduct allegations and the $375M UFC antitrust settlement reveal systemic issues in fighter labor relations and corporate oversight [5]. The payout ratio of 109% on the dividend is unsustainable without earnings growth. Additionally, TKO's success is personality-dependent — Dana White's centrality to UFC and specific fighters' drawing power create key-person risks that corporate structures cannot fully mitigate.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Paramount content distribution agreement driving 29% UFC revenue growth in Q2, with multi-year escalation clauses providing visibility into sustained media rights revenue acceleration</w:t>
      </w:r>
    </w:p>
    <w:p>
      <w:pPr>
        <w:spacing w:before="40" w:after="40"/>
        <w:ind w:left="283"/>
      </w:pPr>
      <w:r>
        <w:rPr>
          <w:rFonts w:ascii="Calibri" w:hAnsi="Calibri"/>
          <w:b/>
          <w:color w:val="4A6B25"/>
          <w:sz w:val="20"/>
        </w:rPr>
        <w:t xml:space="preserve">2. </w:t>
      </w:r>
      <w:r>
        <w:rPr>
          <w:rFonts w:ascii="Calibri" w:hAnsi="Calibri"/>
          <w:b w:val="0"/>
          <w:color w:val="3A4A28"/>
          <w:sz w:val="20"/>
        </w:rPr>
        <w:t>Cross-platform synergies from UFC-WWE-IMG integration unlocking shared sponsorship, venue, and distribution efficiencies — adjusted EBITDA margin expanding to 42% with further improvement potential</w:t>
      </w:r>
    </w:p>
    <w:p>
      <w:pPr>
        <w:spacing w:before="40" w:after="40"/>
        <w:ind w:left="283"/>
      </w:pPr>
      <w:r>
        <w:rPr>
          <w:rFonts w:ascii="Calibri" w:hAnsi="Calibri"/>
          <w:b/>
          <w:color w:val="4A6B25"/>
          <w:sz w:val="20"/>
        </w:rPr>
        <w:t xml:space="preserve">3. </w:t>
      </w:r>
      <w:r>
        <w:rPr>
          <w:rFonts w:ascii="Calibri" w:hAnsi="Calibri"/>
          <w:b w:val="0"/>
          <w:color w:val="3A4A28"/>
          <w:sz w:val="20"/>
        </w:rPr>
        <w:t>Live sports scarcity premium intensifying as streaming platforms compete for must-see real-time content, positioning UFC and WWE as two of the most valuable media rights properties globally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4.33% and ROE of 7.06% mask significant value leakage through Endeavor ownership complexity, non-cash charges, and minority interest — forward P/E of 34.5x leaves limited margin of safety</w:t>
      </w:r>
    </w:p>
    <w:p>
      <w:pPr>
        <w:spacing w:before="40" w:after="40"/>
        <w:ind w:left="283"/>
      </w:pPr>
      <w:r>
        <w:rPr>
          <w:rFonts w:ascii="Calibri" w:hAnsi="Calibri"/>
          <w:b/>
          <w:color w:val="4A6B25"/>
          <w:sz w:val="20"/>
        </w:rPr>
        <w:t xml:space="preserve">2. </w:t>
      </w:r>
      <w:r>
        <w:rPr>
          <w:rFonts w:ascii="Calibri" w:hAnsi="Calibri"/>
          <w:b w:val="0"/>
          <w:color w:val="3A4A28"/>
          <w:sz w:val="20"/>
        </w:rPr>
        <w:t>Governance and reputational risk from the Vince McMahon sexual misconduct scandal and $375M UFC antitrust fighter pay settlement signal systemic labor and oversight vulnerabilities</w:t>
      </w:r>
    </w:p>
    <w:p>
      <w:pPr>
        <w:spacing w:before="40" w:after="40"/>
        <w:ind w:left="283"/>
      </w:pPr>
      <w:r>
        <w:rPr>
          <w:rFonts w:ascii="Calibri" w:hAnsi="Calibri"/>
          <w:b/>
          <w:color w:val="4A6B25"/>
          <w:sz w:val="20"/>
        </w:rPr>
        <w:t xml:space="preserve">3. </w:t>
      </w:r>
      <w:r>
        <w:rPr>
          <w:rFonts w:ascii="Calibri" w:hAnsi="Calibri"/>
          <w:b w:val="0"/>
          <w:color w:val="3A4A28"/>
          <w:sz w:val="20"/>
        </w:rPr>
        <w:t>Key-person dependence on Dana White (UFC) and specific fighter drawing power creates concentration risk that corporate structures cannot fully mitigate — loss of major stars could impact event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Live sports entertainment is one of the most AI-immune business models in existence — UFC fights and WWE events require real athletes performing in front of live audiences, with the unpredictability and emotional engagement being the core product value [1]. AI cannot replicate the charisma of a UFC champion or the spectacle of WrestleMania. The media rights that drive TKO's revenue are among the most sought-after content in the streaming era precisely because live sports is the last content category that audiences consume in real-time, making it resistant to AI-generated alternatives. No analyst has flagged AI as a disruption risk to combat sports or professional wrestling. If anything, AI-driven content creation elsewhere increases the scarcity value of authentic live entertainment. AI Opportunity (0/1): TKO does not generate meaningful AI-specific revenue. While AI could enhance fan engagement, personalized content delivery, or production workflows, no quantifiable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TKO Group Holdings Q2 2026 Earnings Release — investor.tkogrp.com, August 2026</w:t>
      </w:r>
    </w:p>
    <w:p>
      <w:pPr>
        <w:spacing w:before="20" w:after="20"/>
        <w:ind w:left="170"/>
      </w:pPr>
      <w:r>
        <w:rPr>
          <w:rFonts w:ascii="Calibri" w:hAnsi="Calibri"/>
          <w:b/>
          <w:color w:val="4A6B25"/>
          <w:sz w:val="15"/>
        </w:rPr>
        <w:t xml:space="preserve">2. </w:t>
      </w:r>
      <w:r>
        <w:rPr>
          <w:rFonts w:ascii="Calibri" w:hAnsi="Calibri"/>
          <w:b w:val="0"/>
          <w:color w:val="3A4A28"/>
          <w:sz w:val="17"/>
        </w:rPr>
        <w:t>Yahoo Sports — TKO Reports $1.547B in Q2 2026 Revenue, Touting UFC White House Event, August 2026</w:t>
      </w:r>
    </w:p>
    <w:p>
      <w:pPr>
        <w:spacing w:before="20" w:after="20"/>
        <w:ind w:left="170"/>
      </w:pPr>
      <w:r>
        <w:rPr>
          <w:rFonts w:ascii="Calibri" w:hAnsi="Calibri"/>
          <w:b/>
          <w:color w:val="4A6B25"/>
          <w:sz w:val="15"/>
        </w:rPr>
        <w:t xml:space="preserve">3. </w:t>
      </w:r>
      <w:r>
        <w:rPr>
          <w:rFonts w:ascii="Calibri" w:hAnsi="Calibri"/>
          <w:b w:val="0"/>
          <w:color w:val="3A4A28"/>
          <w:sz w:val="17"/>
        </w:rPr>
        <w:t>Oreate AI Blog — Ariel Emanuel: Leading TKO Group Holdings Into a New Era,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TKO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SportsPro — TKO Pays $335M to Settle UFC Fighter Antitrust Lawsuits; ESG University — McMahon Lawsuit Coverage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