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TMHC</w:t>
      </w:r>
      <w:r>
        <w:rPr>
          <w:rFonts w:ascii="Calibri" w:hAnsi="Calibri"/>
          <w:b/>
          <w:color w:val="1A2010"/>
          <w:sz w:val="40"/>
        </w:rPr>
        <w:t xml:space="preserve">  Taylor Morrison Home Corporation</w:t>
      </w:r>
    </w:p>
    <w:p>
      <w:pPr>
        <w:spacing w:after="120"/>
      </w:pPr>
      <w:r>
        <w:rPr>
          <w:rFonts w:ascii="Calibri" w:hAnsi="Calibri"/>
          <w:b/>
          <w:color w:val="6E8450"/>
          <w:sz w:val="18"/>
        </w:rPr>
        <w:t>GROWTH SLEEVE · 2026-08-08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Residential Construction · NYSE · United States</w:t>
      </w:r>
    </w:p>
    <w:p>
      <w:pPr>
        <w:spacing w:after="80"/>
      </w:pPr>
      <w:r>
        <w:rPr>
          <w:rFonts w:ascii="Calibri" w:hAnsi="Calibri"/>
          <w:b w:val="0"/>
          <w:color w:val="3A4A28"/>
          <w:sz w:val="20"/>
        </w:rPr>
        <w:t>Taylor Morrison Home Corporation designs, builds, and sells single-family and multi-family homes across nine U.S. states including Arizona, California, Colorado, Florida, Georgia, Nevada, North Carolina, Oregon, and Texas. The company also offers mortgage services through Taylor Morrison Home Funding and title insurance. Operating approximately 356 active selling communities with an emphasis on quality and customer experience. Acquired by Berkshire Hathaway and delisted from NYSE on July 24, 2026.</w:t>
      </w:r>
    </w:p>
    <w:p>
      <w:r>
        <w:rPr>
          <w:rFonts w:ascii="Calibri" w:hAnsi="Calibri"/>
          <w:b/>
          <w:color w:val="6E8450"/>
          <w:sz w:val="18"/>
        </w:rPr>
        <w:t>3,500 Employees · https://www.taylormorrison.com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Taylor Morrison expanded from four to nine states over the past five years and grew active communities from approximately 200 to 356, but these are incremental geographic extensions rather than business model transformations [1][2]. No new product categories or revenue model pivots. AI Deployment (0/2): No evidence of AI-powered products shipping to customers or quantified AI-driven cost savings. The company references technology adoption in general terms but reports no specific AI deployment results [3]. Market Share (1/2): Taylor Morrison is a top-10 U.S. homebuilder by closings volume with approximately 11,000 homes projected for FY2026, but holds a small fraction of the highly fragmented U.S. housing market and is not gaining share — closings volume declined 25.6% YoY in Q1 2026 [1]. Product Pipeline (1/2): Clear FY2026 guidance of approximately 11,000 closings at $580,000-$590,000 ASP, with ending communities of 365-370 and $2B land investment providing near-term visibility, though no next-generation product announcements [1]. R&amp;D Intensity (0/1): Homebuilders do not maintain traditional R&amp;D programs; innovation occurs through construction techniques and design, with no disclosed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Taylor Morrison's employer value proposition 'TMLiving' is built on three tenets — Spirit and Pride, Health and Wellness, Community and Giving — and the ESG framework centers on 'Building for the Future, People First, Transparency and Accountability' [3][4]. Clear and intentional but not deeply distinctive among homebuilders. Community Impact (1/2): Partnership with the National Wildlife Federation certifying over 5,000 acres of wildlife habitat, delivery of 3,700+ homes on redevelopment and infill lots demonstrating community reinvestment, and expanded DEI recruitment programs [4]. Meaningful but not transformative in scale. Employee Retention (2/2): Glassdoor rating of 4.3/5.0 with 82% of employees recommending the company to a friend. CEO Sheryl Palmer earned a 96% approval rating and was named to Glassdoor's Top CEOs list (19th among all U.S. large-company CEOs), the only homebuilding CEO on the list [3]. Under Palmer's 19-year tenure, the workforce reached 48% women with 30% female leadership in a male-dominated industry. Insider Buying (0/2): No evidence of meaningful net insider buying by executives in the 12 months prior to the Berkshire Hathaway acquisition. The company executed approximately $400M in share repurchases in FY2026, but this is corporate buyback,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strength is the standout: D/E of 39% is well below the 70% target, and the company maintains $1.6B total liquidity ($653M cash plus $905M credit facility) [1][2]. Forward P/E of 13.57 reflects a significant discount to the 20 target, validated by Berkshire Hathaway's acquisition at $72.45/share. ROE of 11.11% falls short of the 15% target, reflecting margin compression in the current housing cycle. TTM profit margin of 8.77% is well below the 20% target, driven by Q1 2026 gross margin contraction to 20.0% from 24.0% on higher spec closings and elevated incentive levels [1]. TTM revenue growth of -6.27% reflects housing market softness, with Q1 2026 closings revenue down 26.8% YoY. Five-year revenue CAGR of 5.8% (FY2020 $6.12B to FY2025 $8.12B) shows moderate long-term growth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Taylor Morrison under Sheryl Palmer's 19-year leadership demonstrates several infinite game qualities — genuine cultural investment, long-tenured leadership, and community orientation — but lacks the transformative cause or strategic pivots that characterize fully infinite players. The company's purpose is more about operational excellence in homebuilding than a vision of a better future state, and the Berkshire Hathaway acquisition, while validating business quality, represents a finite endpoint for the public company.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Taylor Morrison's TMLiving employer value proposition and 'Building for the Future' ESG framework represent genuine intentionality but fall short of a Just Cause as Sinek defines it [3][4]. The company builds quality homes in desirable communities, which is meaningful work, but the purpose is not articulated as a vision of a future state that inspires sacrifice and transcends the business itself. Palmer's leadership has been consistent and values-driven, but the cause is more about being the best homebuilder than about advancing a broader ideal.</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Strong evidence of a high-trust organization. CEO Sheryl Palmer's 96% Glassdoor approval rating (19th among all U.S. large-company CEOs) and the company's 82% employee recommendation rate signal genuine psychological safety and cultural health [3]. Palmer's 19-year tenure as CEO provides leadership continuity that enables trust-building over time. The company's 48% female workforce and 30% female leadership in a male-dominated industry reflects intentional culture-building. Palmer's 'Shoes Off' leadership philosophy — emphasizing authenticity and openness — directly aligns with Sinek's concept of creating a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Taylor Morrison competes in a fragmented industry against Lennar, D.R. Horton, PulteGroup, and NVR, among others. The company's competitive language focuses on differentiation through customer experience and community design quality rather than market share conquest [2]. Management's emphasis on maintaining ASP discipline ($578,000 average) and targeting the move-up and resort-lifestyle segments, rather than racing to the bottom on price, suggests a company that uses rivals' strengths to refine its own positioning.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transformative strategic pivots. Taylor Morrison has been a residential homebuilder throughout its public company history and has not fundamentally reinvented its business model. Geographic expansion into new states and adjacent services (mortgage, title) represent incremental extensions, not existential flexibility. The company is too focused on its core homebuilding competency to have faced or responded to a moment requiring Sinek-style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Taylor Morrison maintained its $2B annual land investment budget and $400M share repurchase program despite a 26.8% Q1 2026 revenue decline, demonstrating willingness to invest through a downturn [1][2]. Palmer's decision to build a gender-diverse leadership team in a heavily male industry required sustained courage against industry norms. However, there are no examples of the company walking away from profitable but misaligned business or making a bet that fundamentally risked short-term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Taylor Morrison was acquired by Berkshire Hathaway at $72.45/share and delisted from the NYSE on July 24, 2026, making this analysis a retrospective on the business at the time of acquisition. At the deal price, Berkshire acquired a top-10 U.S. homebuilder with a 75,626-lot land position, $1.6B liquidity, and a D/E ratio of just 39% for approximately $6.7B — roughly 10x trailing earnings and 1.1x book value ($64/share) [1][2]. The acquisition validates Taylor Morrison's operational quality under CEO Sheryl Palmer's 19-year tenure, which built a differentiated brand in the move-up and resort-lifestyle segments across nine Sun Belt states. Book value per share grew 11% YoY to $64, and the company generated $687.9M in TTM free cash flow.</w:t>
      </w:r>
    </w:p>
    <w:p>
      <w:pPr>
        <w:spacing w:after="120"/>
      </w:pPr>
      <w:r>
        <w:rPr>
          <w:rFonts w:ascii="Calibri" w:hAnsi="Calibri"/>
          <w:b w:val="0"/>
          <w:color w:val="3A4A28"/>
          <w:sz w:val="20"/>
        </w:rPr>
        <w:t>The bear case centered on cyclical headwinds that were compressing the business at the time of acquisition. Q1 2026 revenue declined 26.8% YoY to $1.39B on 25.6% fewer closings, with gross margin contracting 400bps to 20.0% due to higher spec closings and elevated buyer incentives [1]. FY2026 guidance of 11,000 closings at $580-590K ASP implies approximately $6.4B in home closings revenue, a meaningful decline from FY2025's $8.12B [1][5]. ROE had deteriorated from 24.5% in FY2022 to 11.1%, reflecting the cyclical margin compression. For public market investors, the stock is no longer tradeable — Berkshire's acquisition closed the book on TMHC as a standalone investment, though the business now operates as a subsidiary with access to Berkshire's capital and long-term orientation.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Berkshire Hathaway ownership provides access to permanent capital and a long-term investment horizon that aligns with homebuilding's multi-year land development cycles, potentially enabling Taylor Morrison to invest more aggressively through housing downturns</w:t>
      </w:r>
    </w:p>
    <w:p>
      <w:pPr>
        <w:spacing w:before="40" w:after="40"/>
        <w:ind w:left="283"/>
      </w:pPr>
      <w:r>
        <w:rPr>
          <w:rFonts w:ascii="Calibri" w:hAnsi="Calibri"/>
          <w:b/>
          <w:color w:val="4A6B25"/>
          <w:sz w:val="20"/>
        </w:rPr>
        <w:t xml:space="preserve">2. </w:t>
      </w:r>
      <w:r>
        <w:rPr>
          <w:rFonts w:ascii="Calibri" w:hAnsi="Calibri"/>
          <w:b w:val="0"/>
          <w:color w:val="3A4A28"/>
          <w:sz w:val="20"/>
        </w:rPr>
        <w:t>Active community count expanding to 365-370 by year-end 2026 with $2B in land investment creates significant future revenue visibility across high-growth Sun Belt markets</w:t>
      </w:r>
    </w:p>
    <w:p>
      <w:pPr>
        <w:spacing w:before="40" w:after="40"/>
        <w:ind w:left="283"/>
      </w:pPr>
      <w:r>
        <w:rPr>
          <w:rFonts w:ascii="Calibri" w:hAnsi="Calibri"/>
          <w:b/>
          <w:color w:val="4A6B25"/>
          <w:sz w:val="20"/>
        </w:rPr>
        <w:t xml:space="preserve">3. </w:t>
      </w:r>
      <w:r>
        <w:rPr>
          <w:rFonts w:ascii="Calibri" w:hAnsi="Calibri"/>
          <w:b w:val="0"/>
          <w:color w:val="3A4A28"/>
          <w:sz w:val="20"/>
        </w:rPr>
        <w:t>Housing affordability improvements through potential rate cuts could accelerate closings pace above the current 2.7 monthly sales rate per community and support ASP recovery above $580,000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margin compression drove Q1 2026 gross margin to 20.0% from 24.0% with elevated incentive spending — if housing demand weakens further, margins could breach the 20% floor guidance and erode free cash flow generation</w:t>
      </w:r>
    </w:p>
    <w:p>
      <w:pPr>
        <w:spacing w:before="40" w:after="40"/>
        <w:ind w:left="283"/>
      </w:pPr>
      <w:r>
        <w:rPr>
          <w:rFonts w:ascii="Calibri" w:hAnsi="Calibri"/>
          <w:b/>
          <w:color w:val="4A6B25"/>
          <w:sz w:val="20"/>
        </w:rPr>
        <w:t xml:space="preserve">2. </w:t>
      </w:r>
      <w:r>
        <w:rPr>
          <w:rFonts w:ascii="Calibri" w:hAnsi="Calibri"/>
          <w:b w:val="0"/>
          <w:color w:val="3A4A28"/>
          <w:sz w:val="20"/>
        </w:rPr>
        <w:t>Closings volume declined 25.6% YoY in Q1 2026 and monthly absorption pace of 2.7 per community is below historical norms, signaling demand softness in Taylor Morrison's move-up price segment</w:t>
      </w:r>
    </w:p>
    <w:p>
      <w:pPr>
        <w:spacing w:before="40" w:after="40"/>
        <w:ind w:left="283"/>
      </w:pPr>
      <w:r>
        <w:rPr>
          <w:rFonts w:ascii="Calibri" w:hAnsi="Calibri"/>
          <w:b/>
          <w:color w:val="4A6B25"/>
          <w:sz w:val="20"/>
        </w:rPr>
        <w:t xml:space="preserve">3. </w:t>
      </w:r>
      <w:r>
        <w:rPr>
          <w:rFonts w:ascii="Calibri" w:hAnsi="Calibri"/>
          <w:b w:val="0"/>
          <w:color w:val="3A4A28"/>
          <w:sz w:val="20"/>
        </w:rPr>
        <w:t>Concentration in Sun Belt markets (Arizona, Florida, Texas, Nevada) creates geographic risk if population migration patterns slow or if overbuilding in these markets pressures ASPs below the $580,000 guidance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a fundamentally physical-world business requiring land acquisition, construction labor, building materials, local regulatory navigation (permitting, zoning, inspections), and in-person customer engagement — none of which AI can substitute [1][2]. Taylor Morrison's 75,626-lot land position, 356 active communities, and relationships with thousands of subcontractors represent physical and relational moats that are structurally immune to AI disruption. No analysts have flagged AI as a substitution risk for U.S. homebuilders. If anything, rising AI data center construction and tech worker relocation patterns could increase demand for new housing in Taylor Morrison's Sun Belt markets. AI Opportunity (0/1): No quantifiable AI revenue. The company uses technology for virtual home tours and design customization but has not reported specific AI-driven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Taylor Morrison Q1 FY2026 Earnings Release — investors.taylormorrison.com, April 22,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TMHC Key Statistics and Financial Ratios,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Sheryl Palmer Glassdoor Top CEO Recognition — PR Newswire; Glassdoor TMHC Reviews, 2018-2026</w:t>
      </w:r>
    </w:p>
    <w:p>
      <w:pPr>
        <w:spacing w:before="20" w:after="20"/>
        <w:ind w:left="170"/>
      </w:pPr>
      <w:r>
        <w:rPr>
          <w:rFonts w:ascii="Calibri" w:hAnsi="Calibri"/>
          <w:b/>
          <w:color w:val="4A6B25"/>
          <w:sz w:val="15"/>
        </w:rPr>
        <w:t xml:space="preserve">4. </w:t>
      </w:r>
      <w:r>
        <w:rPr>
          <w:rFonts w:ascii="Calibri" w:hAnsi="Calibri"/>
          <w:b w:val="0"/>
          <w:color w:val="3A4A28"/>
          <w:sz w:val="17"/>
        </w:rPr>
        <w:t>Taylor Morrison Fourth Annual ESG Report — newsroom.taylormorrison.com, April 2022</w:t>
      </w:r>
    </w:p>
    <w:p>
      <w:pPr>
        <w:spacing w:before="20" w:after="20"/>
        <w:ind w:left="170"/>
      </w:pPr>
      <w:r>
        <w:rPr>
          <w:rFonts w:ascii="Calibri" w:hAnsi="Calibri"/>
          <w:b/>
          <w:color w:val="4A6B25"/>
          <w:sz w:val="15"/>
        </w:rPr>
        <w:t xml:space="preserve">5. </w:t>
      </w:r>
      <w:r>
        <w:rPr>
          <w:rFonts w:ascii="Calibri" w:hAnsi="Calibri"/>
          <w:b w:val="0"/>
          <w:color w:val="3A4A28"/>
          <w:sz w:val="17"/>
        </w:rPr>
        <w:t>Companies Market Cap — TMHC Historical Revenue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