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TRIN</w:t>
      </w:r>
      <w:r>
        <w:rPr>
          <w:rFonts w:ascii="Calibri" w:hAnsi="Calibri"/>
          <w:b/>
          <w:color w:val="1A2010"/>
          <w:sz w:val="40"/>
        </w:rPr>
        <w:t xml:space="preserve">  Trinity Capital Inc.</w:t>
      </w:r>
    </w:p>
    <w:p>
      <w:pPr>
        <w:spacing w:after="120"/>
      </w:pPr>
      <w:r>
        <w:rPr>
          <w:rFonts w:ascii="Calibri" w:hAnsi="Calibri"/>
          <w:b/>
          <w:color w:val="6E8450"/>
          <w:sz w:val="18"/>
        </w:rPr>
        <w:t>DIVIDEND SLEEVE · 2026-07-29 · Inspire: 34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Financials · Asset Management &amp; Custody Banks · NASDAQ · United States</w:t>
      </w:r>
    </w:p>
    <w:p>
      <w:pPr>
        <w:spacing w:after="80"/>
      </w:pPr>
      <w:r>
        <w:rPr>
          <w:rFonts w:ascii="Calibri" w:hAnsi="Calibri"/>
          <w:b w:val="0"/>
          <w:color w:val="3A4A28"/>
          <w:sz w:val="20"/>
        </w:rPr>
        <w:t>Trinity Capital Inc. is an internally managed business development company (BDC) that provides debt financing, including term loans, equipment financing, and asset-based lending, to growth-stage companies across five verticals: Sponsor Finance, Equipment Finance, Tech Lending, Asset-Based Lending, and Life Sciences. Founded in 2019, IPO'd in 2021, and headquartered in Phoenix, Arizona. The company recently expanded to Europe with a London-based managing director.</w:t>
      </w:r>
    </w:p>
    <w:p>
      <w:r>
        <w:rPr>
          <w:rFonts w:ascii="Calibri" w:hAnsi="Calibri"/>
          <w:b/>
          <w:color w:val="6E8450"/>
          <w:sz w:val="18"/>
        </w:rPr>
        <w:t>150 Employees · https://www.trinitycap.com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Trinity has expanded from its original venture lending focus into five distinct lending verticals since its 2021 IPO — Sponsor Finance, Equipment Finance, Tech Lending, Asset-Based Lending, and Life Sciences — diversifying revenue streams and addressable market [1]. Full-year 2025 investments totaled $1.5B, significantly more than prior years. However, this is incremental business line expansion, not transformative innovation. AI Deployment (1/2): Trinity provided $15M in growth capital to TQA to scale intelligent automation and AI offerings, and the company lends to AI-focused portfolio companies, indicating awareness of AI's value creation potential [2]. Some internal technology deployment for underwriting and portfolio monitoring, though no quantified efficiency gains reported. Market Share (1/2): Trinity is a growing but still mid-sized BDC in a market dominated by larger players like Ares Capital ($30B+ portfolio) and Blue Owl. Record $471M quarterly funding in Q3 2025 demonstrates momentum but not market leadership [1]. Product Pipeline (1/2): Strategic European expansion via appointment of London-based Craig Fox as Managing Director provides geographic growth runway and access to international growth-stage companies [2]. R&amp;D Intensity (0/1): BDCs do not have traditional R&amp;D programs — capital is deployed into portfolio investments rather than product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Trinity's stated purpose is to 'deliver consistent returns for investors through access to private credit markets.' This is a generic financial services mission that is interchangeable with any BDC or private credit fund — it describes a business function, not a purpose worth sacrificing for. Community Impact (1/2): Trinity's portfolio companies have been featured on Forbes' America's Best Startup Employers 2024 list, including Axiom Space, Athletic Brewing, and Electric Hydrogen [2]. The company enables job creation and innovation through growth-stage lending, but this is the business model, not philanthropy. Employee Retention (1/2): CEO transition from Steve Brown (now Executive Chairman) to Kyle Brown as CEO effective January 2024 was orderly and reflected organizational continuity [2]. The company is relatively small (~150 employees), and the origination team has been actively expanded, suggesting growth rather than attrition. Insider Buying (1/2): Management alignment through equity compensation is standard for BDCs, but no notable net insider purchasing was identified beyond compensation-related transactions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Trinity Capital delivered FY2025 revenue of $279.5M (up 23.3% YoY) with record quarterly funding of $471M in Q3 2025 and Q1 2026 revenue of $90.1M (up 37.8% YoY), beating analyst estimates of $87M [1][3]. Profit margin of 43.5% and ROE of 13.8% are strong for the BDC sector. Forward P/E of 8.39 offers compelling valuation. D/E of 116% is reasonable for a BDC operating within regulatory leverage limits. Primary weakness is the 93% payout ratio, though this is structurally required — BDCs must distribute at least 90% of taxable income to maintain pass-through tax status [4]. NAV grew 33% YoY, indicating portfolio quality improvement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Trinity Capital displays mixed infinite game characteristics. The company has grown rapidly since its 2021 IPO by diversifying into five lending verticals and expanding internationally, showing strategic ambition beyond quarter-to-quarter performance. The orderly CEO transition reflects organizational maturity. However, the company is still young (5 years public), its purpose is fundamentally about generating investor returns, and it has not yet been tested through a full market cycle to prove long-term resilience.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Trinity Capital's purpose — delivering consistent investor returns through private credit access — is a legitimate business objective but not a Just Cause in Sinek's framework. It does not describe a future state worth sacrificing for, nor does it inspire beyond financial performance. The company enables growth-stage companies to scale, which has indirect social value, but this is not articulated as the driving purpose. Sinek would view this as a well-run finite player — clear on what it wants to achieve, but not on why it exists beyond profit.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CEO transition from Steve Brown to Kyle Brown as CEO (effective January 2024) was orderly, with Steve remaining as Executive Chairman — suggesting collaborative succession rather than conflict [2]. The company has been actively expanding its origination team, indicating growth investment in people. However, Trinity Capital is still a relatively small organization (~150 employees), making cultural assessment difficult. No specific data on employee tenure, voluntary turnover, or cultural practices was found.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Trinity competes in the BDC space alongside much larger players like Ares Capital and Blue Owl, and management's strategy focuses on building differentiated capabilities in growth-stage lending rather than directly competing for market share against larger incumbents. The five-vertical diversification and European expansion reflect learning from rivals' scale advantages and finding underserved niches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Trinity has meaningfully evolved its business model since IPO, expanding from a pure venture lending BDC to a multi-vertical platform spanning Sponsor Finance, Equipment Finance, Tech Lending, Asset-Based Lending, and Life Sciences [1]. The recent European expansion adds geographic diversification. These are significant strategic evolutions for a five-year-old public company, though the core business of originating and managing private credit remains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Trinity's decision to expand into five lending verticals and enter the European market while still a mid-sized BDC demonstrates willingness to invest in growth over short-term earnings optimization [2]. The company deployed $1.5B in investments in 2025, a record that required conviction in underwriting quality during an uncertain credit environment. However, the BDC model's structural requirement to distribute 90%+ of income limits the ability to build strategic reserves, and the company has not yet faced a significant credit downturn as a public entity.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Trinity Capital delivered record FY2025 results with $279.5M revenue (up 23.3% YoY), record quarterly funding of $471M, and NAV growth of 33% YoY, followed by a strong Q1 2026 beating estimates with $90.1M revenue (up 37.8% YoY) [1][3]. The company trades at a compelling 8.39x forward P/E while yielding 11.6%, and its diversification into five lending verticals with European expansion provides multiple growth vectors. ROE of 13.8% and profit margin of 43.5% are strong for the BDC sector, and 23 consecutive quarters of maintained or increased dividends demonstrate distribution reliability. The growth-stage lending niche benefits from AI sector expansion driving new borrower demand.</w:t>
      </w:r>
    </w:p>
    <w:p>
      <w:pPr>
        <w:spacing w:after="120"/>
      </w:pPr>
      <w:r>
        <w:rPr>
          <w:rFonts w:ascii="Calibri" w:hAnsi="Calibri"/>
          <w:b w:val="0"/>
          <w:color w:val="3A4A28"/>
          <w:sz w:val="20"/>
        </w:rPr>
        <w:t>The primary risk is credit quality through a full market cycle — Trinity has only been public since 2021 and has not been tested through a significant credit downturn, which is particularly relevant for a portfolio concentrated in growth-stage companies that are inherently higher-risk borrowers. The 93% payout ratio leaves minimal cushion for credit losses, though this is structurally required for BDC tax status [4]. At a D/E of 116%, the company operates with leverage typical for BDCs but vulnerable to rising non-accruals if the startup/growth-stage lending environment deteriorates. Additionally, the negative PEG ratio of -0.71 suggests analysts may expect earnings growth deceleration, and the small market cap (~$2B) creates liquidity constraints compared to larger BDC peers. Competition from larger, better-capitalized BDCs like Ares Capital could compress yields and limit Trinity's deal flow advantage.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European expansion via London-based managing director creating new origination channels and geographic diversification of the portfolio beyond U.S. growth-stage companies</w:t>
      </w:r>
    </w:p>
    <w:p>
      <w:pPr>
        <w:spacing w:before="40" w:after="40"/>
        <w:ind w:left="283"/>
      </w:pPr>
      <w:r>
        <w:rPr>
          <w:rFonts w:ascii="Calibri" w:hAnsi="Calibri"/>
          <w:b/>
          <w:color w:val="4A6B25"/>
          <w:sz w:val="20"/>
        </w:rPr>
        <w:t xml:space="preserve">2. </w:t>
      </w:r>
      <w:r>
        <w:rPr>
          <w:rFonts w:ascii="Calibri" w:hAnsi="Calibri"/>
          <w:b w:val="0"/>
          <w:color w:val="3A4A28"/>
          <w:sz w:val="20"/>
        </w:rPr>
        <w:t>AI sector lending growth as portfolio companies like TQA scale AI offerings, with Trinity's tech lending vertical positioned to capture increasing demand for growth-stage AI financing</w:t>
      </w:r>
    </w:p>
    <w:p>
      <w:pPr>
        <w:spacing w:before="40" w:after="40"/>
        <w:ind w:left="283"/>
      </w:pPr>
      <w:r>
        <w:rPr>
          <w:rFonts w:ascii="Calibri" w:hAnsi="Calibri"/>
          <w:b/>
          <w:color w:val="4A6B25"/>
          <w:sz w:val="20"/>
        </w:rPr>
        <w:t xml:space="preserve">3. </w:t>
      </w:r>
      <w:r>
        <w:rPr>
          <w:rFonts w:ascii="Calibri" w:hAnsi="Calibri"/>
          <w:b w:val="0"/>
          <w:color w:val="3A4A28"/>
          <w:sz w:val="20"/>
        </w:rPr>
        <w:t>Continued NAV growth (33% YoY in 2025) demonstrating portfolio quality improvement and potential for further stock price appreciation from narrowing NAV discount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Untested through a full credit cycle — portfolio concentrated in growth-stage companies that are inherently higher risk; a recession could trigger elevated non-accruals and reduce NAV</w:t>
      </w:r>
    </w:p>
    <w:p>
      <w:pPr>
        <w:spacing w:before="40" w:after="40"/>
        <w:ind w:left="283"/>
      </w:pPr>
      <w:r>
        <w:rPr>
          <w:rFonts w:ascii="Calibri" w:hAnsi="Calibri"/>
          <w:b/>
          <w:color w:val="4A6B25"/>
          <w:sz w:val="20"/>
        </w:rPr>
        <w:t xml:space="preserve">2. </w:t>
      </w:r>
      <w:r>
        <w:rPr>
          <w:rFonts w:ascii="Calibri" w:hAnsi="Calibri"/>
          <w:b w:val="0"/>
          <w:color w:val="3A4A28"/>
          <w:sz w:val="20"/>
        </w:rPr>
        <w:t>93% payout ratio provides minimal cushion for credit losses or dividend sustainability during periods of portfolio stress, despite being structurally required for BDC tax status</w:t>
      </w:r>
    </w:p>
    <w:p>
      <w:pPr>
        <w:spacing w:before="40" w:after="40"/>
        <w:ind w:left="283"/>
      </w:pPr>
      <w:r>
        <w:rPr>
          <w:rFonts w:ascii="Calibri" w:hAnsi="Calibri"/>
          <w:b/>
          <w:color w:val="4A6B25"/>
          <w:sz w:val="20"/>
        </w:rPr>
        <w:t xml:space="preserve">3. </w:t>
      </w:r>
      <w:r>
        <w:rPr>
          <w:rFonts w:ascii="Calibri" w:hAnsi="Calibri"/>
          <w:b w:val="0"/>
          <w:color w:val="3A4A28"/>
          <w:sz w:val="20"/>
        </w:rPr>
        <w:t>Small market cap (~$2B) limits institutional ownership and creates wider bid-ask spreads; competition from much larger BDCs (Ares Capital, Blue Owl) could compress lending yields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Trinity Capital's core business — originating growth-stage loans, managing borrower relationships, conducting due diligence, and structuring bespoke financing — requires human judgment, relationship networks, and sector expertise that AI cannot fully replicate [1]. BDC deal sourcing is relationship-intensive, and portfolio monitoring involves qualitative assessment of startup viability that resists pure algorithmic substitution. However, AI tools could automate portions of credit underwriting, financial modeling, and covenant monitoring, potentially commoditizing some analytical functions. The BDC industry is not a primary AI disruption target, but competitive advantages in analytical speed could shift toward AI-enabled firms. AI Opportunity (1/1): Trinity actively deploys capital into AI-related companies — including a $15M investment in TQA to scale AI and automation offerings — and benefits from AI industry growth through increased lending demand from AI-focused portfolio companies [2]. The company's tech lending vertical directly benefits from AI sector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Trinity Capital Q4/FY2025 Earnings Release and Q3 2025 Record Funding — SEC 8-K Filings, February 2026</w:t>
      </w:r>
    </w:p>
    <w:p>
      <w:pPr>
        <w:spacing w:before="20" w:after="20"/>
        <w:ind w:left="170"/>
      </w:pPr>
      <w:r>
        <w:rPr>
          <w:rFonts w:ascii="Calibri" w:hAnsi="Calibri"/>
          <w:b/>
          <w:color w:val="4A6B25"/>
          <w:sz w:val="15"/>
        </w:rPr>
        <w:t xml:space="preserve">2. </w:t>
      </w:r>
      <w:r>
        <w:rPr>
          <w:rFonts w:ascii="Calibri" w:hAnsi="Calibri"/>
          <w:b w:val="0"/>
          <w:color w:val="3A4A28"/>
          <w:sz w:val="17"/>
        </w:rPr>
        <w:t>Trinity Capital Leadership, AI Lending, and European Expansion — PR Newswire, Stock Titan, LinkedIn, 2025-2026</w:t>
      </w:r>
    </w:p>
    <w:p>
      <w:pPr>
        <w:spacing w:before="20" w:after="20"/>
        <w:ind w:left="170"/>
      </w:pPr>
      <w:r>
        <w:rPr>
          <w:rFonts w:ascii="Calibri" w:hAnsi="Calibri"/>
          <w:b/>
          <w:color w:val="4A6B25"/>
          <w:sz w:val="15"/>
        </w:rPr>
        <w:t xml:space="preserve">3. </w:t>
      </w:r>
      <w:r>
        <w:rPr>
          <w:rFonts w:ascii="Calibri" w:hAnsi="Calibri"/>
          <w:b w:val="0"/>
          <w:color w:val="3A4A28"/>
          <w:sz w:val="17"/>
        </w:rPr>
        <w:t>Trinity Capital Q1 FY2026 Earnings Results — ChartMill, Investing.com, April 2026</w:t>
      </w:r>
    </w:p>
    <w:p>
      <w:pPr>
        <w:spacing w:before="20" w:after="20"/>
        <w:ind w:left="170"/>
      </w:pPr>
      <w:r>
        <w:rPr>
          <w:rFonts w:ascii="Calibri" w:hAnsi="Calibri"/>
          <w:b/>
          <w:color w:val="4A6B25"/>
          <w:sz w:val="15"/>
        </w:rPr>
        <w:t xml:space="preserve">4. </w:t>
      </w:r>
      <w:r>
        <w:rPr>
          <w:rFonts w:ascii="Calibri" w:hAnsi="Calibri"/>
          <w:b w:val="0"/>
          <w:color w:val="3A4A28"/>
          <w:sz w:val="17"/>
        </w:rPr>
        <w:t>Seeking Alpha — Trinity Capital BDC Income Compounder Analysis, 2025-2026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TRIN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