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w:t>
      </w:r>
      <w:r>
        <w:rPr>
          <w:rFonts w:ascii="Calibri" w:hAnsi="Calibri"/>
          <w:b/>
          <w:color w:val="1A2010"/>
          <w:sz w:val="40"/>
        </w:rPr>
        <w:t xml:space="preserve">  Trane Technologies plc</w:t>
      </w:r>
    </w:p>
    <w:p>
      <w:pPr>
        <w:spacing w:after="120"/>
      </w:pPr>
      <w:r>
        <w:rPr>
          <w:rFonts w:ascii="Calibri" w:hAnsi="Calibri"/>
          <w:b/>
          <w:color w:val="6E8450"/>
          <w:sz w:val="18"/>
        </w:rPr>
        <w:t>GROWTH SLEEVE · 2026-07-27 · Inspire: 79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Ireland</w:t>
      </w:r>
    </w:p>
    <w:p>
      <w:pPr>
        <w:spacing w:after="80"/>
      </w:pPr>
      <w:r>
        <w:rPr>
          <w:rFonts w:ascii="Calibri" w:hAnsi="Calibri"/>
          <w:b w:val="0"/>
          <w:color w:val="3A4A28"/>
          <w:sz w:val="20"/>
        </w:rPr>
        <w:t>Trane Technologies plc designs, manufactures, and services HVAC systems, building automation controls, transport refrigeration, and compression technologies worldwide. Brands include Trane (commercial and residential HVAC) and Thermo King (transport refrigeration). Spun off from Ingersoll-Rand in 2020 to focus exclusively on climate innovation. Revenue of $21.6B TTM with a record $10.7B backlog driven by data center cooling and building decarbonization demand.</w:t>
      </w:r>
    </w:p>
    <w:p>
      <w:r>
        <w:rPr>
          <w:rFonts w:ascii="Calibri" w:hAnsi="Calibri"/>
          <w:b/>
          <w:color w:val="6E8450"/>
          <w:sz w:val="18"/>
        </w:rPr>
        <w:t>43,000 Employees · https://www.tranetechnologies.com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Dave Regnery (since 2021), Trane transformed from a cost-focused operator to a growth company, growing revenue from $12.5B to $21.6B in five years — an 11% CAGR that redefined the company's trajectory [1][3]. The 2020 spin-off from Ingersoll-Rand to focus purely on climate was itself a transformative pivot. However, no entirely new product category was created — growth came from executing better in existing HVAC and refrigeration markets. AI Deployment (1/2): Trane opened an AI Lab and is developing AI-powered building optimization technology (AI Control and ARIA platforms) targeting 10-30% energy savings [4]. Acquired an AI-native startup to integrate smart building capabilities. Products are in field trials but not yet generating disclosed AI-specific revenue. Market Share (2/2): Global leader in commercial HVAC with dominant Trane and Thermo King brands. Americas Commercial HVAC bookings grew nearly 40% in Q1 2026, with total enterprise bookings of $6.7B and a record $10.7B backlog [1]. Clear category leader with accelerating share gains in data center cooling. Product Pipeline (1/2): Data center cooling solutions, heat recovery systems for district heating, and connected building AI technology are in development, but specific product launch dates and revenue targets were not disclosed beyond general full-year guidance of ~9.5% revenue growth [1]. R&amp;D Intensity (0/1): R&amp;D spend was not separately disclosed as a percentage of revenue; as an industrial manufacturer, Trane is not top-quartile in R&amp;D intensity relative to technology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Trane's purpose — 'Boldly challenge what's possible for a sustainable world' — is specific, differentiated, and clearly shapes strategy. The Gigaton Challenge (committing to reduce customer carbon emissions by one gigaton by 2030) operationalizes the mission with measurable targets [5]. CEO Regnery explicitly connects strategic decisions to this purpose, and 2,300 leaders have compensation tied to ESG metrics [5]. Not a 4 because the purpose has only been in place since the 2020 rebrand and hasn't been tested through a major crisis or leadership transition. Community &amp; Charitable Impact (1/2): Trane has reduced operational carbon emissions 7.3% since 2019 and emissions intensity by 53% since 2013 [5]. S&amp;P Global assigned an ESG evaluation score of 78, among the highest for industrial firms. However, no specific dollar amounts for charitable giving or community investment programs were identified. Employee Retention (0/2): Glassdoor rating of 3.7/5 with 70% of employees recommending the company [3]. No specific tenure data, voluntary turnover rates, or retention metrics were publicly available. Insider Buying (0/2): No evidence of meaningful net insider buying by CEO Regnery or other executives in the last 12 months. Compensation is equity-based but no notable open-market purchases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54% is well below the 70% target, reflecting a conservative balance sheet with $4.62B total debt against $1.07B cash [1]. ROE of 36.6% far exceeds the 15% target, demonstrating strong capital efficiency. Revenue growth of ~9.5% guided for FY2026 is near the 10% target, with 5yr revenue CAGR of ~11% exceeding it. Weaknesses are Forward P/E of 31.25 and PEG of 2.10, both reflecting premium valuation for a mid-single-digit organic grower [2]. Profit margin of 13.4% is below the 20% target, typical for industrial manufacturers. TTM free cash flow of $3.14B and operating cash flow of $3.48B provide strong capital return capacity — $300M in share repurchases and $232M in dividends deployed through April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Trane under Regnery demonstrates several hallmarks of infinite game thinking — a genuine purpose connected to climate sustainability, the courage to transform the company's culture from cost-cutting to growth-oriented innovation, and the existential flexibility to split from Ingersoll-Rand to pursue a focused climate mission. The purpose, however, dates only to 2020 and hasn't been tested through a major downturn or leadership change. Glassdoor data suggests a decent but not exceptional organizational culture.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'Boldly challenge what's possible for a sustainable world' is a genuine, distinctive purpose that connects Trane's work to climate sustainability — a cause larger than quarterly profits [3]. The Gigaton Challenge gives it measurable teeth, and CEO Regnery explicitly traces strategic decisions (the Ingersoll-Rand split, AI Lab investments, data center cooling expansion) back to this purpose. The cause falls short of a 3 because it dates only to the 2020 rebrand. It has not yet survived a leadership transition, a major economic downturn, or the test of time that separates a marketing statement from a validated Just Cause. Five years of execution is promising but not decades of proof.</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Trane's cultural transformation under Regnery — from risk-averse cost-cutting to growth-oriented innovation — required building new trust. When Regnery told teams to plan for 15% growth instead of 3%, 'everyone knew the assignment' and returned with ambitious investment proposals that were funded [3]. Glassdoor rating of 3.7/5 with 70% recommending the company is respectable but not exceptional for a large industrial firm [3]. No evidence of above-average tenure, unusually low turnover, or employees specifically citing purpose as a reason for staying.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Regnery personally uses AI to analyze competitor earnings calls within 30 minutes of their release, studying rivals' strategies to inform Trane's own approach [3]. The company's competitive posture focuses on improvement — investing in AI, connected buildings, and data center cooling capabilities — rather than attacking competitors. The acquisition of an AI-native startup was framed as learning from a potential disruptor rather than eliminating a threat [4]. This reflects an infinite mindset toward competition.</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2020 split from Ingersoll-Rand is a textbook example of existential flexibility — Trane abandoned a diversified industrial conglomerate model (including the profitable industrial segment) to focus exclusively on climate innovation [3]. This was not a desperation move; Ingersoll-Rand was performing well. The pivot was driven by purpose — leadership believed the climate opportunity demanded full commitment. The result validated the decision: revenue grew from $12.5B to $21.6B in five years, and the focused climate brand now commands a premium valuation of 36.7x trailing earnings [2].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Regnery showed courage in transforming Trane's internal culture — challenging teams to pursue 15% growth instead of incremental 3% targets, and funding the ambitious investment proposals that resulted [3]. The company committed to the Gigaton Challenge and tied 2,300 leaders' compensation to ESG metrics [5]. However, these bets were made during a favorable macro environment for climate technology and data center investment. The true test — maintaining growth investment during a cyclical downturn in commercial construction — has not yet occurred.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Trane Technologies delivered Q1 2026 revenue of $4.97B (up 6% YoY), with record enterprise bookings of $6.7B (up 27%) and a record $10.7B backlog providing strong revenue visibility [1]. Full-year 2026 guidance was raised to ~9.5% revenue growth and $14.75-14.95 adjusted EPS. The secular tailwinds are compelling: AI data center buildouts drive demand for high-capacity cooling systems (Americas Commercial HVAC bookings up nearly 40%), global building decarbonization regulations create upgrade cycles, and Trane's Gigaton Challenge positions it at the intersection of efficiency and sustainability [1][4]. With 36.6% ROE, $3.14B TTM free cash flow, and a conservative 54% D/E ratio, the financial foundation is strong. The company has compounded revenue at 11% annually over five years under CEO Regnery's growth-oriented transformation [3].</w:t>
      </w:r>
    </w:p>
    <w:p>
      <w:pPr>
        <w:spacing w:after="120"/>
      </w:pPr>
      <w:r>
        <w:rPr>
          <w:rFonts w:ascii="Calibri" w:hAnsi="Calibri"/>
          <w:b w:val="0"/>
          <w:color w:val="3A4A28"/>
          <w:sz w:val="20"/>
        </w:rPr>
        <w:t>The primary concern is valuation. At 31.25x forward earnings and a PEG of 2.10, Trane is priced for continued double-digit earnings growth, yet Q1 organic revenue growth was only 3% and adjusted operating margins compressed 20 bps [1][2]. A 13.4% profit margin — typical for industrial manufacturers — limits the earnings expansion multiple that services-heavy business models enjoy. The stock trades at a premium to its fundamental growth rate, creating vulnerability to any deceleration in data center or commercial construction spending. Additionally, the AI Lab investments and connected building platforms are promising but unproven at commercial scale — if field trials underperform or AI-powered HVAC products fail to differentiate materially, R&amp;D costs may not translate into incremental margin [4]. Cyclical risk remains: commercial HVAC is tied to construction and corporate capital spending cycles, and record bookings may partially reflect pull-forward demand.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creating a multi-year secular demand cycle for high-capacity cooling — Trane's Americas Commercial HVAC bookings grew nearly 40% in Q1 2026 with record $10.7B backlog providing 2+ quarters of revenue visibility [1]</w:t>
      </w:r>
    </w:p>
    <w:p>
      <w:pPr>
        <w:spacing w:before="40" w:after="40"/>
        <w:ind w:left="283"/>
      </w:pPr>
      <w:r>
        <w:rPr>
          <w:rFonts w:ascii="Calibri" w:hAnsi="Calibri"/>
          <w:b/>
          <w:color w:val="4A6B25"/>
          <w:sz w:val="20"/>
        </w:rPr>
        <w:t xml:space="preserve">2. </w:t>
      </w:r>
      <w:r>
        <w:rPr>
          <w:rFonts w:ascii="Calibri" w:hAnsi="Calibri"/>
          <w:b w:val="0"/>
          <w:color w:val="3A4A28"/>
          <w:sz w:val="20"/>
        </w:rPr>
        <w:t>Full-year guidance raised to ~9.5% revenue growth and $14.75-14.95 EPS, with potential for further upside as record backlog converts to revenue through FY2026 [1]</w:t>
      </w:r>
    </w:p>
    <w:p>
      <w:pPr>
        <w:spacing w:before="40" w:after="40"/>
        <w:ind w:left="283"/>
      </w:pPr>
      <w:r>
        <w:rPr>
          <w:rFonts w:ascii="Calibri" w:hAnsi="Calibri"/>
          <w:b/>
          <w:color w:val="4A6B25"/>
          <w:sz w:val="20"/>
        </w:rPr>
        <w:t xml:space="preserve">3. </w:t>
      </w:r>
      <w:r>
        <w:rPr>
          <w:rFonts w:ascii="Calibri" w:hAnsi="Calibri"/>
          <w:b w:val="0"/>
          <w:color w:val="3A4A28"/>
          <w:sz w:val="20"/>
        </w:rPr>
        <w:t>AI-powered building optimization products (AI Control, ARIA) entering commercialization, with potential to shift revenue mix toward higher-margin software-enabled services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PEG of 2.10 and 31.25x forward P/E price the stock for sustained double-digit earnings growth against only 3% Q1 organic revenue growth — any deceleration in data center or commercial construction spending could trigger significant multiple compression [1][2]</w:t>
      </w:r>
    </w:p>
    <w:p>
      <w:pPr>
        <w:spacing w:before="40" w:after="40"/>
        <w:ind w:left="283"/>
      </w:pPr>
      <w:r>
        <w:rPr>
          <w:rFonts w:ascii="Calibri" w:hAnsi="Calibri"/>
          <w:b/>
          <w:color w:val="4A6B25"/>
          <w:sz w:val="20"/>
        </w:rPr>
        <w:t xml:space="preserve">2. </w:t>
      </w:r>
      <w:r>
        <w:rPr>
          <w:rFonts w:ascii="Calibri" w:hAnsi="Calibri"/>
          <w:b w:val="0"/>
          <w:color w:val="3A4A28"/>
          <w:sz w:val="20"/>
        </w:rPr>
        <w:t>Cyclical exposure to commercial construction and corporate capital spending: record bookings may partially reflect pull-forward demand, and a macro slowdown would compress both order rates and margins</w:t>
      </w:r>
    </w:p>
    <w:p>
      <w:pPr>
        <w:spacing w:before="40" w:after="40"/>
        <w:ind w:left="283"/>
      </w:pPr>
      <w:r>
        <w:rPr>
          <w:rFonts w:ascii="Calibri" w:hAnsi="Calibri"/>
          <w:b/>
          <w:color w:val="4A6B25"/>
          <w:sz w:val="20"/>
        </w:rPr>
        <w:t xml:space="preserve">3. </w:t>
      </w:r>
      <w:r>
        <w:rPr>
          <w:rFonts w:ascii="Calibri" w:hAnsi="Calibri"/>
          <w:b w:val="0"/>
          <w:color w:val="3A4A28"/>
          <w:sz w:val="20"/>
        </w:rPr>
        <w:t>AI Lab and connected building investments are unproven at commercial scale — execution risk on new HVAC platforms if performance falls short of lab results, potentially pressuring margins without corresponding revenue uplift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Trane's core business is physical-world infrastructure — manufacturing, installing, and servicing HVAC systems, chillers, and transport refrigeration units. AI cannot replace the need for physical heating, cooling, and refrigeration in buildings and cold chains [4]. The company is structurally immune to AI substitution: buildings will always need physical climate control equipment. Moreover, AI is a direct demand catalyst — AI data centers require massive cooling capacity, driving nearly 40% growth in Americas Commercial HVAC bookings in Q1 2026 [1]. The explosion of AI compute creates a secular tailwind for Trane's highest-margin products. The only AI risk is operational: AI-native startups could develop smarter building automation platforms, but Trane's response (acquiring an AI-native startup, launching its AI Lab) pre-empts this by integrating AI into its own offerings [4]. AI Opportunity (0/1): Trane is actively developing AI-powered building optimization (AI Control, ARIA) and data center cooling solutions, but has not disclosed specific AI-attributable revenue figures. AI enhances the value proposition but is not yet a separately quantified revenue stream.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Trane Technologies Q1 2026 Earnings Release — Investor Relations, April 30,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TT Key Statistics and Valuation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Semafor — 'Momentum is hard to stop: How Dave Regnery wrote Trane's growth story', October 2025</w:t>
      </w:r>
    </w:p>
    <w:p>
      <w:pPr>
        <w:spacing w:before="20" w:after="20"/>
        <w:ind w:left="170"/>
      </w:pPr>
      <w:r>
        <w:rPr>
          <w:rFonts w:ascii="Calibri" w:hAnsi="Calibri"/>
          <w:b/>
          <w:color w:val="4A6B25"/>
          <w:sz w:val="15"/>
        </w:rPr>
        <w:t xml:space="preserve">4. </w:t>
      </w:r>
      <w:r>
        <w:rPr>
          <w:rFonts w:ascii="Calibri" w:hAnsi="Calibri"/>
          <w:b w:val="0"/>
          <w:color w:val="3A4A28"/>
          <w:sz w:val="17"/>
        </w:rPr>
        <w:t>Klover.ai — 'Trane's AI Strategy: Analysis of Dominance in HVAC, Building Optimization', 2026; Yahoo Finance AI/ARIA Coverage</w:t>
      </w:r>
    </w:p>
    <w:p>
      <w:pPr>
        <w:spacing w:before="20" w:after="20"/>
        <w:ind w:left="170"/>
      </w:pPr>
      <w:r>
        <w:rPr>
          <w:rFonts w:ascii="Calibri" w:hAnsi="Calibri"/>
          <w:b/>
          <w:color w:val="4A6B25"/>
          <w:sz w:val="15"/>
        </w:rPr>
        <w:t xml:space="preserve">5. </w:t>
      </w:r>
      <w:r>
        <w:rPr>
          <w:rFonts w:ascii="Calibri" w:hAnsi="Calibri"/>
          <w:b w:val="0"/>
          <w:color w:val="3A4A28"/>
          <w:sz w:val="17"/>
        </w:rPr>
        <w:t>Trane Technologies ESG Reports and S&amp;P Global ESG Evaluation — tranetechnologies.com, 2023-2025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