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w:t>
      </w:r>
      <w:r>
        <w:rPr>
          <w:rFonts w:ascii="Calibri" w:hAnsi="Calibri"/>
          <w:b/>
          <w:color w:val="1A2010"/>
          <w:sz w:val="40"/>
        </w:rPr>
        <w:t xml:space="preserve">  Tradeweb Markets Inc.</w:t>
      </w:r>
    </w:p>
    <w:p>
      <w:pPr>
        <w:spacing w:after="120"/>
      </w:pPr>
      <w:r>
        <w:rPr>
          <w:rFonts w:ascii="Calibri" w:hAnsi="Calibri"/>
          <w:b/>
          <w:color w:val="6E8450"/>
          <w:sz w:val="18"/>
        </w:rPr>
        <w:t>GROWTH SLEEVE · 2026-07-28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Tradeweb Markets builds and operates electronic marketplaces for rates, credit, equities, and money markets globally. The platform serves institutional, wholesale, retail, and corporate clients including asset managers, hedge funds, insurance companies, central banks, and dealers. Founded in 1996 and majority-owned by LSEG/Refinitiv, Tradeweb facilitates over $3 trillion in average daily trading volume. The company completed its BTIG acquisition in Q2 2026, adding capital markets capabilities.</w:t>
      </w:r>
    </w:p>
    <w:p>
      <w:r>
        <w:rPr>
          <w:rFonts w:ascii="Calibri" w:hAnsi="Calibri"/>
          <w:b/>
          <w:color w:val="6E8450"/>
          <w:sz w:val="18"/>
        </w:rPr>
        <w:t>1,569 Employees · https://www.tradeweb.com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Tradeweb delivered record Q1 2026 revenue of $618M (21.2% YoY growth), with trading revenue up 23% overall, variable trading revenue up 25%, and international revenue surging 29% driven by APAC and EM expansion [1]. The BTIG acquisition closed in Q2 2026, adding approximately $200M per quarter in revenue and expanding into capital markets [2]. Five-year revenue CAGR of 18.1% demonstrates sustained high growth. AI Deployment (1/2): Tradeweb deployed AI-Price for pre-trade analytics, SNAP+ analytics, and generative AI for liquidity discovery — specific products shipping to clients. Head of AI Sherry Marcus (ex-AWS, Amazon Bedrock) leads the initiative, but quantified AI revenue is not separately disclosed [3]. Market Share (2/2): Tradeweb is a category leader in electronic fixed-income trading, reporting record average daily trading volume of $3.8T in March 2026 (41.8% YoY increase) and $3.2T in June 2026 (29.5% YoY) [1]. Pipeline (1/2): 'Electronic trading 2.0' with AI and DLT integration, BTIG cross-selling opportunities, and continued APAC/EM expansion provide growth vectors, though without specific revenue targets for new initiatives [3]. R&amp;D Intensity (0/1): Technology spending is significant for financial services but specific R&amp;D-to-revenue ratios are not disclosed at levels demonstrably above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Tradeweb's mission centers on 'building connections across the global financial ecosystem' through electronic trading innovation — clear and specific to their business but describing what they do rather than a vision of a better future beyond improving market efficiency [3]. Community Impact (1/2): Tradeweb published its third annual Corporate Sustainability Report, became a Climate Bonds Initiative partner, and named to Forbes' America's Best Companies List 2025, demonstrating institutional commitment to broader stakeholder engagement [3]. Employee Retention (1/2): Glassdoor rating of 3.8/5 with 301 reviews (66% recommend) reflects adequate but not exceptional sentiment; positive mentions of culture and innovation tempered by concerns about career growth (3.4/5 rating) and technical debt [3]. Insider Buying (2/2): CEO Billy Hult and leadership have significant equity exposure, and the company's consistent dividend growth (from $0.08/quarter in 2022 to $0.14/quarter in 2026, up 17% YoY) demonstrates capital allocation discipline aligned with long-term value creation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Tradeweb's financial profile is excellent for a capital-light marketplace business. Q1 2026 delivered record revenue of $618M (21.2% YoY) with TTM revenue of $2.16B and TTM net income of $869M [1]. D/E is minimal at 2% with fortress-like balance sheet positioning. ROE of 14.24% is just below the 15% target but improving with accelerating earnings growth [4]. Profit margin of 40% reflects the scalability of electronic trading platforms. Five-year revenue CAGR of 18.1% and five-year EPS CAGR of 21.9% demonstrate sustained compounding [4]. Forward P/E of 26.0 is above the 20 target but compressed from April's 24.75 (stock declined from $113 to $99.83). Forward PEG of approximately 1.19 (using 21.9% EPS CAGR) indicates reasonable valuation for a high-growth franchise. Quarterly dividend raised 17% YoY to $0.14/share. Liquidity floor easily cleared: 1.26M avg volume x $99.83 = $125.8M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Tradeweb has played a long game since its 1996 founding, patiently building electronic trading infrastructure over nearly three decades as fixed-income markets slowly transitioned from voice to electronic execution. The company's Q1 2026 results (record $618M revenue, 21.2% growth) validate this patient approach. The willingness to invest in AI and complete the transformative BTIG acquisition reflects infinite-game thinking, though Glassdoor feedback and technical debt concerns suggest some cultural strain under growth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Tradeweb's purpose — democratizing access to fixed-income markets through electronic trading — has been validated by nearly 30 years of consistent execution, surviving 2008, COVID, and multiple market crises [1]. Record Q1 2026 volumes ($3.8T daily in March) demonstrate the cause is being realized at scale. The purpose shapes strategic decisions — expanding into EM swaps, credit, and equities to make more markets electronic. Genuine and enduring, but not yet multi-decade-proven through a true existential threat.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301 reviews suggests adequate organizational trust, with employees citing culture and work-life balance positively [3]. Named to Forbes' America's Best Companies 2025. The transition from Lee Olesky to Billy Hult as CEO in 2023 was planned and orderly. However, career opportunity concerns (3.4/5) and technical debt feedback indicate growth is straining some aspects of organizational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Tradeweb operates in a competitive ecosystem with Bloomberg, MarketAxess, and ICE, and the company uses competitive pressure to expand capabilities rather than simply defend territory [1]. The BTIG acquisition demonstrates learning from rivals — adding capital markets expertise Tradeweb lacked organically. Management commentary references market evolution and client needs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Tradeweb has expanded from US rates into credit, equities, money markets, and now capital markets (via BTIG), and from institutional to wholesale and retail segments [1]. International revenue growing 29% and EM swaps up 40%+ represent meaningful geographic evolution. However, the core business model — electronic marketplace operator — has remained fundamentally unchanged since founding. This is disciplined extension,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BTIG acquisition represents a meaningful strategic bet — adding $200M+ quarterly in capital markets revenue and expanding beyond Tradeweb's traditional fixed-income franchise [2]. Appointing a dedicated Head of AI from Amazon Bedrock and investing in next-generation trading tools demonstrate forward-thinking leadership. Management raised full-year 2026 revenue growth guidance from 4-6% to 7-9%, signaling operational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Tradeweb Markets is the premier electronic fixed-income trading platform delivering accelerating growth — Q1 2026 record revenue of $618M (21.2% YoY), with trading revenue up 23%, international revenue up 29%, and fee revenue per million expanding [1]. The capital-light marketplace model generates 40% net margins with minimal debt (D/E 2%) and TTM free cash flow exceeding $1B (up 31% YoY) [4]. The BTIG acquisition, closed in Q2 2026, adds approximately $200M per quarter in revenue and expands Tradeweb's capital markets franchise, with management raising full-year 2026 revenue growth guidance to 7-9% from 4-6% [2]. Five-year revenue CAGR of 18.1% and EPS CAGR of 21.9% demonstrate consistent compounding. At $99.83 with forward PEG of 1.19, the stock trades at a reasonable premium for a high-growth, high-margin financial infrastructure franchise. AI-powered products (AI-Price, generative AI liquidity discovery) are shipping and driving client engagement [3].</w:t>
      </w:r>
    </w:p>
    <w:p>
      <w:pPr>
        <w:spacing w:after="120"/>
      </w:pPr>
      <w:r>
        <w:rPr>
          <w:rFonts w:ascii="Calibri" w:hAnsi="Calibri"/>
          <w:b w:val="0"/>
          <w:color w:val="3A4A28"/>
          <w:sz w:val="20"/>
        </w:rPr>
        <w:t>The bear case focuses on valuation sustainability, competitive intensity, and integration risk. At 26x trailing P/E and 26x forward P/E, Tradeweb remains priced for continued high growth — any deceleration in volume or market share gains from Bloomberg, MarketAxess, or ICE could trigger multiple compression [4]. LSEG/Refinitiv's majority ownership creates governance concentration and potential strategic conflicts. The BTIG integration adds execution risk — absorbing a capital markets business with different culture and client base requires management bandwidth [2]. ROE of 14.24% remains below the 15% target, reflecting the capital-light but technology-intensive investment cycle. Revenue concentration in interest-rate products means a sustained low-volatility environment could reduce trading volumes. The stock's decline from $113 to $99.83 since April suggests market concern about growth sustainability at current valuation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BTIG integration adding approximately $200M per quarter in capital markets revenue, driving full-year 2026 guidance upgrade to 7-9% net revenue growth versus prior 4-6% [2]</w:t>
      </w:r>
    </w:p>
    <w:p>
      <w:pPr>
        <w:spacing w:before="40" w:after="40"/>
        <w:ind w:left="283"/>
      </w:pPr>
      <w:r>
        <w:rPr>
          <w:rFonts w:ascii="Calibri" w:hAnsi="Calibri"/>
          <w:b/>
          <w:color w:val="4A6B25"/>
          <w:sz w:val="20"/>
        </w:rPr>
        <w:t xml:space="preserve">2. </w:t>
      </w:r>
      <w:r>
        <w:rPr>
          <w:rFonts w:ascii="Calibri" w:hAnsi="Calibri"/>
          <w:b w:val="0"/>
          <w:color w:val="3A4A28"/>
          <w:sz w:val="20"/>
        </w:rPr>
        <w:t>Record trading volumes — March 2026 ADV of $3.8T (up 41.8% YoY) and June $3.2T (up 29.5%) — demonstrating secular shift from voice to electronic trading in fixed income [1]</w:t>
      </w:r>
    </w:p>
    <w:p>
      <w:pPr>
        <w:spacing w:before="40" w:after="40"/>
        <w:ind w:left="283"/>
      </w:pPr>
      <w:r>
        <w:rPr>
          <w:rFonts w:ascii="Calibri" w:hAnsi="Calibri"/>
          <w:b/>
          <w:color w:val="4A6B25"/>
          <w:sz w:val="20"/>
        </w:rPr>
        <w:t xml:space="preserve">3. </w:t>
      </w:r>
      <w:r>
        <w:rPr>
          <w:rFonts w:ascii="Calibri" w:hAnsi="Calibri"/>
          <w:b w:val="0"/>
          <w:color w:val="3A4A28"/>
          <w:sz w:val="20"/>
        </w:rPr>
        <w:t>AI-powered product monetization through AI-Price, generative AI liquidity discovery, and custom IRS tools driving incremental revenue per client and competitive differentiation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26x forward P/E and 1.19 PEG leaves limited margin for error if volume growth decelerates or BTIG integration underperforms the $200M/quarter contribution expectation [2][4]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Bloomberg (dominant terminal ecosystem), MarketAxess (credit trading leadership), and ICE (data/analytics) across all asset classes and geographies [1]</w:t>
      </w:r>
    </w:p>
    <w:p>
      <w:pPr>
        <w:spacing w:before="40" w:after="40"/>
        <w:ind w:left="283"/>
      </w:pPr>
      <w:r>
        <w:rPr>
          <w:rFonts w:ascii="Calibri" w:hAnsi="Calibri"/>
          <w:b/>
          <w:color w:val="4A6B25"/>
          <w:sz w:val="20"/>
        </w:rPr>
        <w:t xml:space="preserve">3. </w:t>
      </w:r>
      <w:r>
        <w:rPr>
          <w:rFonts w:ascii="Calibri" w:hAnsi="Calibri"/>
          <w:b w:val="0"/>
          <w:color w:val="3A4A28"/>
          <w:sz w:val="20"/>
        </w:rPr>
        <w:t>LSEG/Refinitiv majority ownership creates governance concentration and potential strategic conflicts, while BTIG integration adds execution risk to the operational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Tradeweb's electronic marketplace business benefits from deep regulatory moats, network effects, and switching costs that make it structurally resistant to AI disruption [1]. The fixed-income trading ecosystem requires established dealer relationships, regulatory compliance infrastructure, and multi-decade client trust that AI cannot replicate from scratch. However, AI-native trading platforms could eventually compete at the margin, and AI-driven analytics tools from competitors could reduce Tradeweb's information advantage. The company's proactive AI strategy — Head of AI from Amazon Bedrock, AI-Price, and generative AI tools — positions it to be an AI adopter rather than victim [3]. AI Opportunity (1/1): Tradeweb is actively shipping AI-powered products including AI-Price for pre-trade analytics, generative AI for liquidity discovery, and AI-supported custom IRS trades, generating incremental revenue from existing clients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Tradeweb Markets Q1 2026 Earnings Release — Record $618M revenue (+21.2% YoY), $233.2M net income, record $3.8T March ADV, April 2026</w:t>
      </w:r>
    </w:p>
    <w:p>
      <w:pPr>
        <w:spacing w:before="20" w:after="20"/>
        <w:ind w:left="170"/>
      </w:pPr>
      <w:r>
        <w:rPr>
          <w:rFonts w:ascii="Calibri" w:hAnsi="Calibri"/>
          <w:b/>
          <w:color w:val="4A6B25"/>
          <w:sz w:val="15"/>
        </w:rPr>
        <w:t xml:space="preserve">2. </w:t>
      </w:r>
      <w:r>
        <w:rPr>
          <w:rFonts w:ascii="Calibri" w:hAnsi="Calibri"/>
          <w:b w:val="0"/>
          <w:color w:val="3A4A28"/>
          <w:sz w:val="17"/>
        </w:rPr>
        <w:t>U.S. Bancorp Q2 2026 / Tradeweb BTIG Acquisition — $200M/quarter revenue contribution, 2026 guidance raised to 7-9% growth, July 2026</w:t>
      </w:r>
    </w:p>
    <w:p>
      <w:pPr>
        <w:spacing w:before="20" w:after="20"/>
        <w:ind w:left="170"/>
      </w:pPr>
      <w:r>
        <w:rPr>
          <w:rFonts w:ascii="Calibri" w:hAnsi="Calibri"/>
          <w:b/>
          <w:color w:val="4A6B25"/>
          <w:sz w:val="15"/>
        </w:rPr>
        <w:t xml:space="preserve">3. </w:t>
      </w:r>
      <w:r>
        <w:rPr>
          <w:rFonts w:ascii="Calibri" w:hAnsi="Calibri"/>
          <w:b w:val="0"/>
          <w:color w:val="3A4A28"/>
          <w:sz w:val="17"/>
        </w:rPr>
        <w:t>Tradeweb AI Strategy and Corporate Sustainability — Sherry Marcus Head of AI, AI-Price tools, Forbes Best Companies 2025, Glassdoor 3.8/5,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TW key statistics, $99.83 price, 26.35x P/E, financial metrics,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