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TXRH</w:t>
      </w:r>
      <w:r>
        <w:rPr>
          <w:rFonts w:ascii="Calibri" w:hAnsi="Calibri"/>
          <w:b/>
          <w:color w:val="1A2010"/>
          <w:sz w:val="40"/>
        </w:rPr>
        <w:t xml:space="preserve">  Texas Roadhouse, Inc.</w:t>
      </w:r>
    </w:p>
    <w:p>
      <w:pPr>
        <w:spacing w:after="120"/>
      </w:pPr>
      <w:r>
        <w:rPr>
          <w:rFonts w:ascii="Calibri" w:hAnsi="Calibri"/>
          <w:b/>
          <w:color w:val="6E8450"/>
          <w:sz w:val="18"/>
        </w:rPr>
        <w:t>GROWTH SLEEVE · 2026-08-10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Restaurants · NASDAQ · United States</w:t>
      </w:r>
    </w:p>
    <w:p>
      <w:pPr>
        <w:spacing w:after="80"/>
      </w:pPr>
      <w:r>
        <w:rPr>
          <w:rFonts w:ascii="Calibri" w:hAnsi="Calibri"/>
          <w:b w:val="0"/>
          <w:color w:val="3A4A28"/>
          <w:sz w:val="20"/>
        </w:rPr>
        <w:t>Texas Roadhouse, Inc. owns and operates full-service casual dining restaurants primarily under the Texas Roadhouse brand, serving hand-cut steaks, fall-off-the-bone ribs, and freshly baked bread. Also operates the Bubba's 33 and Jaggers concepts. Founded in 1993 by Kent Taylor and headquartered in Louisville, Kentucky, the company operates approximately 750 restaurants across 49 states and 10 international markets. Known for its managing partner model that gives restaurant-level leaders equity-like incentives and operational autonomy.</w:t>
      </w:r>
    </w:p>
    <w:p>
      <w:r>
        <w:rPr>
          <w:rFonts w:ascii="Calibri" w:hAnsi="Calibri"/>
          <w:b/>
          <w:color w:val="6E8450"/>
          <w:sz w:val="18"/>
        </w:rPr>
        <w:t>80,000 Employees · https://www.texasroadhouse.com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Texas Roadhouse has delivered consistent concept refinement — average weekly sales exceeded $175,000 for the first time in the company's 33-year history in Q2 2026, driven by menu evolution, operational improvements, and sustained unit expansion [1]. The Bubba's 33 concept provides a modest growth extension, and the pipeline extends through 2029 with 35 company-owned openings annually. However, no transformative business model pivot or new concept launch has occurred. AI Deployment (0/2): The company is piloting AI tools for demand forecasting, labor optimization, personalized VIP marketing, and kitchen scheduling, but no measurable results have been reported and management has expressed concern about AI potentially undermining the 'human touch' service model [4]. Market Share (2/2): Texas Roadhouse is the dominant full-service steakhouse chain in the United States by revenue, with average weekly sales of $175,000+ that lead the casual dining category [1]. Same-store sales growth of 6.2% in Q2 2026 (including 3% traffic growth) outperforms casual dining peers in a challenging macro environment. Product Pipeline (1/2): Full restaurant development pipeline through 2029 with 35 company-owned openings per year, representing 5-6% store week growth. Specific and visible expansion plans, though this is incremental unit growth rather than new product innovation [1]. R&amp;D Intensity (0/1): Restaurants do not have traditional R&amp;D programs; innovation occurs through menu development and operational improvement rather than formal research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Kent Taylor founded Texas Roadhouse with a specific and deeply held purpose — 'Legendary Food, Legendary Service' at accessible prices for working American families. This was not a marketing tagline; Taylor famously refused to raise prices even when commodities spiked because he viewed affordable quality dining as a social mission [1]. The managing partner model, the commitment to hand-cut steaks and fresh-baked bread (no frozen anything), and the family-friendly atmosphere all trace back to this founding purpose. Taylor's suicide in 2021 after suffering from post-COVID tinnitus was a tragedy, but his purpose has survived the leadership transition to CEO Jerry Morgan. Community Impact (1/2): Each Texas Roadhouse restaurant partners with local charities through the Andy's Outreach program (named after Kent Taylor's alter ego), providing community meals, fundraiser hosting, and charitable donations. This is genuine grassroots community investment but lacks the distinctive scale of corporate foundations [7]. Employee Retention (1/2): The managing partner compensation model gives restaurant leaders significant skin-in-the-game and promotes from within, and many managing partners have multi-decade tenures. However, front-line restaurant turnover remains high as in the broader industry, and Glassdoor approval is 71% with culture rated 3.8/5 [4]. Insider Buying (0/2): No evidence of meaningful insider buying in the last 12 months. Institutional ownership dominates the shareholder base.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revenue of $1.68B, up 11.1% YoY, with EPS of $1.85 and same-store sales up 6.2% including 3% traffic growth [1]. Analysts project $6.54B in 2026 revenue. ROE of 29.0% is exceptional, reflecting the asset-light managing partner model and strong unit economics. D/E of 66% is well within the target threshold. The 5-year revenue CAGR of approximately 11.5% is near the 10% target, driven by consistent unit growth and same-store sales expansion [3]. The main weaknesses are the elevated forward P/E of 25.2x (above the 20x target) and the structurally low profit margin of 6.9% characteristic of full-service restaurants [5]. PEG ratio of approximately 2.1x reflects premium valuation relative to expected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Texas Roadhouse under Kent Taylor was one of the purest infinite game players in the restaurant industry — a founder who returned his salary during COVID to pay employees, who refused to raise prices to protect margins, and who built a managing partner model specifically to create ownership mentality at the restaurant level. The question now is whether that culture endures after Taylor's death in 2021. Under CEO Jerry Morgan, the financial results have been excellent, the culture appears intact, and the commitment to food quality and value remains. Sinek would see a company with genuine Just Cause DNA that is being tested by the transition from founder to professional management.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'Legendary Food, Legendary Service' at accessible prices is a genuine cause that shaped 30 years of strategic decisions — every menu choice, every staffing decision, every pricing decision traced back to Kent Taylor's vision of serving working American families extraordinary food at honest prices [1]. This purpose is inclusive (anyone can eat at Texas Roadhouse), service-oriented (enriching lives through dining experiences), and bigger than any single restaurant. Taylor validated it through decades of consistent execution. Falls short of 3/3 because the cause hasn't yet been tested through a full multi-decade cycle under post-founder leadership — Taylor's death in 2021 means the current test of the Just Cause is ongoing.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managing partner model is a deliberate trust-building structure — each restaurant leader has significant operational autonomy, participates in profit-sharing, and is empowered to make decisions for their local market [1]. Many managing partners have decade-plus tenures, suggesting genuine loyalty. Kent Taylor was known for personally visiting restaurants and knowing partners by name. However, 71% Glassdoor approval and 3.8/5 culture score suggest trust varies across the 80,000-person organization, and front-line restaurant worker turnover remains high as in the broader hospitality industry [4].</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Kent Taylor was famous for dining at competitors' restaurants — studying their menus, service, execution, and value proposition — and using those insights to improve Texas Roadhouse. The company's competitive DNA is about getting better, not defeating rivals. The response to Outback, LongHorn, and other steakhouse competitors has always been 'how do we serve better food at better prices?' not 'how do we take their market share?' This learning-from-rivals culture appears to have survived the founder's passing under Morgan's leadership.</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Texas Roadhouse has successfully executed the same core concept for 33 years without a transformative pivot. Bubba's 33 is a modest brand extension, not a fundamental reinvention. The company has not faced the existential test that Sinek describes — it hasn't needed to abandon its core business because the concept continues to work brilliantly. This is not a criticism of the business; it simply means the company hasn't been tested on this dimension. At 33 years old, it is still relatively young by Sinek's standards.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Kent Taylor demonstrated extraordinary courage throughout his leadership — returning his $800K+ salary and bonus during COVID to fund employee pay, maintaining prices below competitors even when commodity inflation squeezed margins, and rejecting short-term earnings optimization in favor of long-term guest value [1]. The decision to keep hand-cutting steaks in-house (rather than outsourcing to save costs) and to maintain fresh-baked bread at every location reflects choosing quality over efficiency. Under Jerry Morgan, the company has continued this pattern — absorbing commodity and labor cost inflation while reaffirming growth investment and maintaining the value proposition.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Texas Roadhouse is executing at the highest level in its 33-year history — Q2 2026 delivered $1.68B revenue (up 11.1%), same-store sales growth of 6.2% with 3% traffic growth, and average weekly sales exceeding $175,000 for the first time [1]. In a casual dining environment where competitors are seeing negative traffic, Texas Roadhouse's positive guest counts demonstrate the power of the value proposition and managing partner execution model. ROE of 29.0% reflects exceptional capital efficiency, and the full development pipeline through 2029 (35 new restaurants annually) provides visible multi-year growth. The culture built by Kent Taylor — hand-cut steaks, fresh bread, accessible prices — has proven durable under CEO Jerry Morgan, with unit economics that justify continued expansion.</w:t>
      </w:r>
    </w:p>
    <w:p>
      <w:pPr>
        <w:spacing w:after="120"/>
      </w:pPr>
      <w:r>
        <w:rPr>
          <w:rFonts w:ascii="Calibri" w:hAnsi="Calibri"/>
          <w:b w:val="0"/>
          <w:color w:val="3A4A28"/>
          <w:sz w:val="20"/>
        </w:rPr>
        <w:t>The primary risk is valuation. At 33.7x trailing and 25.2x forward earnings with a PEG of approximately 2.1x, Texas Roadhouse is priced as a premium growth compounder, leaving minimal margin of safety [5]. Profit margin of 6.9% is structurally constrained by the full-service restaurant model, making EPS vulnerable to commodity inflation (beef, dairy) and labor cost pressure. Management reaffirmed expectations for commodity and labor cost inflation in 2026, which could compress margins if same-store sales decelerate [1]. The DEI discrimination complaint represents an emerging litigation and reputational risk [6]. The post-founder leadership question remains — Kent Taylor's death in 2021 removed the cultural architect, and while Jerry Morgan has executed brilliantly, the true test of cultural durability often comes during adversity rather than prosperity.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positive traffic growth (3% in Q2 2026) in a challenging consumer environment demonstrates pricing power and brand loyalty that could sustain premium valuation through industry headwinds</w:t>
      </w:r>
    </w:p>
    <w:p>
      <w:pPr>
        <w:spacing w:before="40" w:after="40"/>
        <w:ind w:left="283"/>
      </w:pPr>
      <w:r>
        <w:rPr>
          <w:rFonts w:ascii="Calibri" w:hAnsi="Calibri"/>
          <w:b/>
          <w:color w:val="4A6B25"/>
          <w:sz w:val="20"/>
        </w:rPr>
        <w:t xml:space="preserve">2. </w:t>
      </w:r>
      <w:r>
        <w:rPr>
          <w:rFonts w:ascii="Calibri" w:hAnsi="Calibri"/>
          <w:b w:val="0"/>
          <w:color w:val="3A4A28"/>
          <w:sz w:val="20"/>
        </w:rPr>
        <w:t>35 new company-owned restaurant openings annually through 2029 providing 5-6% store week growth and visible unit economics supporting consistent double-digit revenue expansion</w:t>
      </w:r>
    </w:p>
    <w:p>
      <w:pPr>
        <w:spacing w:before="40" w:after="40"/>
        <w:ind w:left="283"/>
      </w:pPr>
      <w:r>
        <w:rPr>
          <w:rFonts w:ascii="Calibri" w:hAnsi="Calibri"/>
          <w:b/>
          <w:color w:val="4A6B25"/>
          <w:sz w:val="20"/>
        </w:rPr>
        <w:t xml:space="preserve">3. </w:t>
      </w:r>
      <w:r>
        <w:rPr>
          <w:rFonts w:ascii="Calibri" w:hAnsi="Calibri"/>
          <w:b w:val="0"/>
          <w:color w:val="3A4A28"/>
          <w:sz w:val="20"/>
        </w:rPr>
        <w:t>Margin expansion opportunity as commodity inflation moderates and operational leverage from higher average weekly sales ($175K+) drops through to operating income at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25.2x forward P/E and PEG of 2.1x prices in sustained outperformance — any deceleration in same-store sales or traffic below 3% could trigger significant multiple compression</w:t>
      </w:r>
    </w:p>
    <w:p>
      <w:pPr>
        <w:spacing w:before="40" w:after="40"/>
        <w:ind w:left="283"/>
      </w:pPr>
      <w:r>
        <w:rPr>
          <w:rFonts w:ascii="Calibri" w:hAnsi="Calibri"/>
          <w:b/>
          <w:color w:val="4A6B25"/>
          <w:sz w:val="20"/>
        </w:rPr>
        <w:t xml:space="preserve">2. </w:t>
      </w:r>
      <w:r>
        <w:rPr>
          <w:rFonts w:ascii="Calibri" w:hAnsi="Calibri"/>
          <w:b w:val="0"/>
          <w:color w:val="3A4A28"/>
          <w:sz w:val="20"/>
        </w:rPr>
        <w:t>Structural profit margin of 6.9% leaves minimal buffer against commodity inflation (beef prices), labor cost pressure, and potential minimum wage increases across 49 operating states</w:t>
      </w:r>
    </w:p>
    <w:p>
      <w:pPr>
        <w:spacing w:before="40" w:after="40"/>
        <w:ind w:left="283"/>
      </w:pPr>
      <w:r>
        <w:rPr>
          <w:rFonts w:ascii="Calibri" w:hAnsi="Calibri"/>
          <w:b/>
          <w:color w:val="4A6B25"/>
          <w:sz w:val="20"/>
        </w:rPr>
        <w:t xml:space="preserve">3. </w:t>
      </w:r>
      <w:r>
        <w:rPr>
          <w:rFonts w:ascii="Calibri" w:hAnsi="Calibri"/>
          <w:b w:val="0"/>
          <w:color w:val="3A4A28"/>
          <w:sz w:val="20"/>
        </w:rPr>
        <w:t>Post-founder cultural durability remains unproven under adversity — Kent Taylor's death in 2021 removed the passionate cultural architect, and the true test of whether 'Legendary Food, Legendary Service' endures will come during a consumer recession, not during record sales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Texas Roadhouse's core business is a physical-world dining experience — hand-cut steaks, fresh-baked bread, line dancing, peanuts on the floor — that AI structurally cannot substitute [1]. No AI technology can replicate the experience of dining in a Texas Roadhouse restaurant. The business requires physical real estate, cooking equipment, food supply chains, and human service that are entirely beyond AI's displacement capability. The managing partner model depends on human judgment and local market knowledge. The only marginal exposure is that AI could help competitors optimize operations or that AI-powered meal delivery could capture some occasions, but Texas Roadhouse's value proposition is specifically the dine-in experience. AI Opportunity (0/1): The company is piloting AI for demand forecasting, labor scheduling, and marketing personalization, but no AI-related revenue or quantified efficiency gains have been reported. Management has noted concern that over-reliance on AI could harm the 'human touch' service model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Texas Roadhouse Q2 2026 Earnings Release — stocktitan.net / BusinessWire, July 2026</w:t>
      </w:r>
    </w:p>
    <w:p>
      <w:pPr>
        <w:spacing w:before="20" w:after="20"/>
        <w:ind w:left="170"/>
      </w:pPr>
      <w:r>
        <w:rPr>
          <w:rFonts w:ascii="Calibri" w:hAnsi="Calibri"/>
          <w:b/>
          <w:color w:val="4A6B25"/>
          <w:sz w:val="15"/>
        </w:rPr>
        <w:t xml:space="preserve">2. </w:t>
      </w:r>
      <w:r>
        <w:rPr>
          <w:rFonts w:ascii="Calibri" w:hAnsi="Calibri"/>
          <w:b w:val="0"/>
          <w:color w:val="3A4A28"/>
          <w:sz w:val="17"/>
        </w:rPr>
        <w:t>Texas Roadhouse Q1 2026 Earnings Release — investor.texasroadhouse.com, April 2026</w:t>
      </w:r>
    </w:p>
    <w:p>
      <w:pPr>
        <w:spacing w:before="20" w:after="20"/>
        <w:ind w:left="170"/>
      </w:pPr>
      <w:r>
        <w:rPr>
          <w:rFonts w:ascii="Calibri" w:hAnsi="Calibri"/>
          <w:b/>
          <w:color w:val="4A6B25"/>
          <w:sz w:val="15"/>
        </w:rPr>
        <w:t xml:space="preserve">3. </w:t>
      </w:r>
      <w:r>
        <w:rPr>
          <w:rFonts w:ascii="Calibri" w:hAnsi="Calibri"/>
          <w:b w:val="0"/>
          <w:color w:val="3A4A28"/>
          <w:sz w:val="17"/>
        </w:rPr>
        <w:t>Simply Wall St / TipRanks — Texas Roadhouse Revenue Estimates and Analyst Price Targets, August 2026</w:t>
      </w:r>
    </w:p>
    <w:p>
      <w:pPr>
        <w:spacing w:before="20" w:after="20"/>
        <w:ind w:left="170"/>
      </w:pPr>
      <w:r>
        <w:rPr>
          <w:rFonts w:ascii="Calibri" w:hAnsi="Calibri"/>
          <w:b/>
          <w:color w:val="4A6B25"/>
          <w:sz w:val="15"/>
        </w:rPr>
        <w:t xml:space="preserve">4. </w:t>
      </w:r>
      <w:r>
        <w:rPr>
          <w:rFonts w:ascii="Calibri" w:hAnsi="Calibri"/>
          <w:b w:val="0"/>
          <w:color w:val="3A4A28"/>
          <w:sz w:val="17"/>
        </w:rPr>
        <w:t>Comparably / Glassdoor — Texas Roadhouse CEO Ratings and Workplace Culture Reviews,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GuruFocus — TXRH Key Statistics and Valuation Metrics,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Fox Business — Texas Roadhouse DEI Discrimination Complaint and Hiring Practices Allegations, 2026</w:t>
      </w:r>
    </w:p>
    <w:p>
      <w:pPr>
        <w:spacing w:before="20" w:after="20"/>
        <w:ind w:left="170"/>
      </w:pPr>
      <w:r>
        <w:rPr>
          <w:rFonts w:ascii="Calibri" w:hAnsi="Calibri"/>
          <w:b/>
          <w:color w:val="4A6B25"/>
          <w:sz w:val="15"/>
        </w:rPr>
        <w:t xml:space="preserve">7. </w:t>
      </w:r>
      <w:r>
        <w:rPr>
          <w:rFonts w:ascii="Calibri" w:hAnsi="Calibri"/>
          <w:b w:val="0"/>
          <w:color w:val="3A4A28"/>
          <w:sz w:val="17"/>
        </w:rPr>
        <w:t>Texas Roadhouse Corporate Sustainability Report,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