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UEC</w:t>
      </w:r>
      <w:r>
        <w:rPr>
          <w:rFonts w:ascii="Calibri" w:hAnsi="Calibri"/>
          <w:b/>
          <w:color w:val="1A2010"/>
          <w:sz w:val="40"/>
        </w:rPr>
        <w:t xml:space="preserve">  Uranium Energy Corp.</w:t>
      </w:r>
    </w:p>
    <w:p>
      <w:pPr>
        <w:spacing w:after="120"/>
      </w:pPr>
      <w:r>
        <w:rPr>
          <w:rFonts w:ascii="Calibri" w:hAnsi="Calibri"/>
          <w:b/>
          <w:color w:val="6E8450"/>
          <w:sz w:val="18"/>
        </w:rPr>
        <w:t>GROWTH SLEEVE · 2026-08-18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AMEX · United States</w:t>
      </w:r>
    </w:p>
    <w:p>
      <w:pPr>
        <w:spacing w:after="80"/>
      </w:pPr>
      <w:r>
        <w:rPr>
          <w:rFonts w:ascii="Calibri" w:hAnsi="Calibri"/>
          <w:b w:val="0"/>
          <w:color w:val="3A4A28"/>
          <w:sz w:val="20"/>
        </w:rPr>
        <w:t>Uranium Energy Corp. is America's largest and fastest-growing uranium supplier, advancing low-cost, environmentally friendly in-situ recovery (ISR) mining projects in Wyoming and South Texas, plus high-grade conventional projects in Canada. The company operates hub-and-spoke ISR platforms including Christensen Ranch (production), Burke Hollow (America's largest greenfield ISR project, commenced production in FY2026), and multiple development-stage projects. UEC maintains a near debt-free balance sheet with $794M in liquid assets including $488M cash and 1.46M lbs of physical uranium inventory. CEO Amir Adnani has led the company since 2005 and serves on the World Nuclear Association Board.</w:t>
      </w:r>
    </w:p>
    <w:p>
      <w:r>
        <w:rPr>
          <w:rFonts w:ascii="Calibri" w:hAnsi="Calibri"/>
          <w:b/>
          <w:color w:val="6E8450"/>
          <w:sz w:val="18"/>
        </w:rPr>
        <w:t>171 Employees · https://www.uraniumenergy.com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UEC has successfully ramped production at Christensen Ranch Mine and commenced extraction at Burke Hollow — America's largest greenfield ISR uranium project to enter production in more than a decade [1]. The company produced 45,743 lbs at a cash cost of $39.66/lb in Q2 FY2026, demonstrating low-cost ISR operations. The acquisition and integration of Rio Tinto's Wyoming ISR assets (Sweetwater Mill and multiple projects) transformed UEC's resource base. However, revenue of $20.2M for the nine months ended April 2026 remains modest relative to the ~$5.6B market cap [1]. AI Deployment (0/2): No evidence of AI integration in mining operations, wellfield optimization, or corporate processes. The 171-person team focuses on traditional ISR extraction methods and geological surveying [2]. Market Share (2/2): UEC controls the largest uranium resource base in the United States and is the largest pure-play U.S. uranium producer, uniquely positioned as geopolitical tensions elevate domestic energy security [1][2]. CEO Adnani's World Nuclear Association Board appointment signals global industry leadership. The UR&amp;C subsidiary could make UEC the only domestic supplier with end-to-end uranium and UF6 production capabilities. Product Pipeline (2/2): Multiple projects advancing simultaneously — Burke Hollow (producing), Ludeman and Sweetwater ISR (development) in the U.S. and Roughrider conventional in Saskatchewan — provide a diversified production pipeline with optionality across geographies and mining methods [1]. R&amp;D Intensity (0/1): UEC's competitive advantage derives from resource acquisition and operational execution rather than R&amp;D or technology development. ISR mining is well-established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UEC positions itself as 'fueling a cleaner tomorrow' through domestically sourced uranium for clean nuclear energy, connecting to national security, energy independence, and climate goals simultaneously [2]. CEO Adnani has maintained this vision consistently for 20+ years through multiple uranium price cycles. However, the framing is more commercially opportunistic than transformatively aspirational — focused on being America's largest uranium supplier rather than articulating a deeper vision for the energy future. Community Impact (1/2): UEC published its inaugural Sustainability Report in FY2023, formalizing ESG programs and committing to a decarbonization roadmap for Scope 1 and 2 emissions [3]. The company contributed $40,153 toward Health Physics scholarships and emphasizes ISR mining's minimal surface disturbance and environmental impact. Community engagement remains limited relative to market cap. Employee Retention (2/2): Glassdoor rating of 4.5/5 with 100% recommendation rate, 5.0 diversity and inclusion, 4.7 career opportunities, and 4.5 senior management scores demonstrate exceptional employee satisfaction [2]. Management tenure averaging 11+ years and CEO Adnani's 20+ year leadership provide evidence of deep organizational trust and long-term commitment. Employees cite management quality, benefits, work schedule, and culture as strengths. Insider Buying (0/2): No specific evidence of meaningful personal insider buying by CEO Adnani or other executives was identified. Board tenure averaging 16 years signals alignment with the long-term uranium thesis, but this is governance, not financial conviction through personal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UEC maintains an exceptionally clean balance sheet with D/E of just 0.14% and $488M in cash ($794M total liquid assets), providing maximum financial flexibility and scoring 1.0 on debt [1][4]. However, the company has yet to translate its resource base into meaningful profitability. ROE of -9.0% reflects ongoing losses with a $76.6M net loss for the nine months ended April 2026, scoring 0.0 with 2x weight [1]. Profit margin is effectively 0% on $20.2M revenue that came from selling 200,000 lbs of physical uranium at $101/lb rather than ongoing production revenue. Forward P/E is meaningless at -116x for a currently unprofitable company, scoring 0.0. The PEG ratio of 1.37 reflects analyst expectations of 123% annual earnings growth, scoring 0.815 with 2x weight. Revenue growth YoY is distorted by the timing of inventory sales and is excluded. Liquidity floor easily cleared at ~$80M daily traded value (7.05M shares x $11.35)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UEC demonstrates meaningful infinite-game characteristics through CEO Adnani's two-decade commitment to the nuclear energy thesis, willingness to build vertically integrated capabilities (UR&amp;C refining/conversion), patient capital allocation through uranium price cycles, and exceptional employee satisfaction. However, the company's dependence on a single commodity, speculative valuation relative to current revenue, and positioning as 'America's largest' rather than articulating a deeper vision create finite pressures around near-term production milestones and uranium spot prices.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UEC's cause — providing domestically sourced uranium to reduce dependence on Russian and Kazakh supply chains while enabling clean nuclear energy — connects to national security, energy independence, and climate goals simultaneously [2]. CEO Adnani's 20+ year leadership and World Nuclear Association Board appointment demonstrate enduring commitment to this multi-dimensional purpose. The cause gains urgency from geopolitical context (Russia/Kazakhstan supply risks) and the AI-driven nuclear renaissance. However, the cause hasn't been tested through a scenario where the mission conflicted with financial optimization — the two have been aligned throughout the recent uranium bull market.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Glassdoor rating of 4.5/5 with 100% recommendation rate, 5.0 diversity and inclusion score, 4.7 career opportunities, and 4.5 senior management ratings demonstrate exceptional organizational trust [2]. Management tenure averaging 11+ years is remarkable for a 171-person company, and CEO Adnani's 20+ year leadership provides deep continuity and psychological safety. Employees cite management quality, benefits, work schedule, pay, and culture as reasons they stay. This small, tight-knit team has weathered a decade-long uranium bear market together, building the kind of trust that only emerges through shared adversity.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UEC competes against Cameco, Kazatomprom, NexGen Energy, and other uranium producers but positions itself primarily through market share language — 'America's largest and fastest-growing uranium supplier' — rather than acknowledging rivals' strengths as motivation for self-improvement. CEO Adnani's WNA Board appointment suggests engagement with the broader nuclear community, but competitive messaging emphasizes domestic positioning and national security framing rather than learning from the operational excellence of larger global producers.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UR&amp;C subsidiary incorporation to pursue uranium refining and conversion represents genuine vertical integration beyond mining, potentially making UEC the only domestic end-to-end uranium supplier [1]. The Roughrider conventional project in Saskatchewan diversifies beyond ISR technology and U.S. geography. The acquisition of Rio Tinto's Wyoming ISR assets during a downturn shows strategic opportunism. However, UEC remains a single-commodity company entirely dependent on uranium demand, with no diversification into other energy minerals, adjacent businesses, or alternative clean energy technologies.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UEC maintained its unhedged uranium sales strategy, selling 200,000 lbs at $101/lb in Q2 FY2026 — a contrarian position that maximizes upside exposure [1]. CEO Adnani kept the team and assets together through the 2011-2020 uranium bear market, investing in production capability when the market was against nuclear energy. The Burke Hollow greenfield development required significant capital commitment during uncertain times. However, the Q3 FY2026 net loss of $76.6M and accepting near-term dilution through capital raises suggest the cost of this aggressive expansion is significant, and the company has not yet proven it can transition from investment to sustainable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UEC offers pure-play exposure to the nuclear energy renaissance driven by AI data center demand, U.S. energy security imperatives, and the global pledge to triple nuclear capacity by 2050 [2]. The company's near debt-free balance sheet with $488M cash ($794M total liquid assets), 1.46M lb physical uranium inventory, and multiple projects ramping production — including Burke Hollow, America's largest greenfield ISR project — create a diversified domestic uranium platform [1]. Q2 FY2026 demonstrated low-cost ISR economics with 45,743 lbs produced at $39.66/lb cash cost and 200,000 lbs sold at $101/lb. Analyst forecasts project 123% annual earnings growth as production scales across the hub-and-spoke ISR platforms. The Inspire Impact Score of 33 (ALIGNED) with 11 positive ESG attributions — including Environmental Risk Mitigation, GHG Emissions, and Low Ecological Impact — reflects strong sustainability practices for a mining company [3].</w:t>
      </w:r>
    </w:p>
    <w:p>
      <w:pPr>
        <w:spacing w:after="120"/>
      </w:pPr>
      <w:r>
        <w:rPr>
          <w:rFonts w:ascii="Calibri" w:hAnsi="Calibri"/>
          <w:b w:val="0"/>
          <w:color w:val="3A4A28"/>
          <w:sz w:val="20"/>
        </w:rPr>
        <w:t>The bear case rests on execution and valuation disconnect. The ~$5.6B market cap on $20.2M of nine-month revenue and a $76.6M net loss for the same period creates extreme valuation risk — any production shortfall or uranium price decline could trigger significant compression [1][4]. Revenue declined from $66.8M in the prior-year nine-month period, driven by timing of uranium inventory sales rather than underlying production deterioration, but the inconsistency makes financial forecasting difficult. The company has diluted shareholders through ATM issuances and a 2025 public offering to fund expansion, with shares outstanding reaching ~490M. Regulatory permitting delays from NRC backlogs could extend production timelines beyond expectations. The UR&amp;C refining and conversion ambitions remain pre-feasibility with no guaranteed timeline or capital commitment. UEC is a single-commodity bet on uranium demand with no hedge against a nuclear buildout slowdown, shifts in SMR technology adoption timelines, or geopolitical changes that could unlock Russian/Kazakh supply chains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Burke Hollow production ramp as America's largest greenfield ISR project — scaling extraction rates through FY2026-2027 alongside Christensen Ranch should drive meaningful production growth and uranium sales revenue [1]</w:t>
      </w:r>
    </w:p>
    <w:p>
      <w:pPr>
        <w:spacing w:before="40" w:after="40"/>
        <w:ind w:left="283"/>
      </w:pPr>
      <w:r>
        <w:rPr>
          <w:rFonts w:ascii="Calibri" w:hAnsi="Calibri"/>
          <w:b/>
          <w:color w:val="4A6B25"/>
          <w:sz w:val="20"/>
        </w:rPr>
        <w:t xml:space="preserve">2. </w:t>
      </w:r>
      <w:r>
        <w:rPr>
          <w:rFonts w:ascii="Calibri" w:hAnsi="Calibri"/>
          <w:b w:val="0"/>
          <w:color w:val="3A4A28"/>
          <w:sz w:val="20"/>
        </w:rPr>
        <w:t>UR&amp;C feasibility determination for a U.S. uranium refining and conversion facility, potentially making UEC the only domestic supplier with end-to-end capabilities from mine to UF6, commanding premium pricing and government supply contracts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driving nuclear energy demand — tech giants investing in nuclear power create secular uranium demand that supports spot prices above UEC's $39.66/lb production cost, potentially delivering significant operating leverage as production scales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disconnect: ~$5.6B market cap on $20.2M nine-month revenue and $76.6M net loss — any production shortfall, uranium price decline below $70-80/lb, or nuclear buildout delay could trigger severe multiple compression [1][4]</w:t>
      </w:r>
    </w:p>
    <w:p>
      <w:pPr>
        <w:spacing w:before="40" w:after="40"/>
        <w:ind w:left="283"/>
      </w:pPr>
      <w:r>
        <w:rPr>
          <w:rFonts w:ascii="Calibri" w:hAnsi="Calibri"/>
          <w:b/>
          <w:color w:val="4A6B25"/>
          <w:sz w:val="20"/>
        </w:rPr>
        <w:t xml:space="preserve">2. </w:t>
      </w:r>
      <w:r>
        <w:rPr>
          <w:rFonts w:ascii="Calibri" w:hAnsi="Calibri"/>
          <w:b w:val="0"/>
          <w:color w:val="3A4A28"/>
          <w:sz w:val="20"/>
        </w:rPr>
        <w:t>Revenue timing volatility: $66.8M to $20.2M nine-month decline reflects lumpy uranium inventory sales rather than steady production revenue, making financial forecasting unreliable and obscuring underlying business trajectory [1]</w:t>
      </w:r>
    </w:p>
    <w:p>
      <w:pPr>
        <w:spacing w:before="40" w:after="40"/>
        <w:ind w:left="283"/>
      </w:pPr>
      <w:r>
        <w:rPr>
          <w:rFonts w:ascii="Calibri" w:hAnsi="Calibri"/>
          <w:b/>
          <w:color w:val="4A6B25"/>
          <w:sz w:val="20"/>
        </w:rPr>
        <w:t xml:space="preserve">3. </w:t>
      </w:r>
      <w:r>
        <w:rPr>
          <w:rFonts w:ascii="Calibri" w:hAnsi="Calibri"/>
          <w:b w:val="0"/>
          <w:color w:val="3A4A28"/>
          <w:sz w:val="20"/>
        </w:rPr>
        <w:t>Single-commodity concentration in uranium with ~490M shares outstanding from dilutive capital raises — dependent on sustained nuclear energy sentiment, AI data center electricity demand, and favorable U.S. energy policy for thesis validation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Uranium mining is a physical extraction business that AI fundamentally cannot displace — ISR wellfield operations, geological surveying, uranium processing, and regulatory compliance require physical infrastructure, deep geological expertise, and NRC licensing that no software can replicate [1]. More importantly, AI is a direct demand driver for UEC's product: tech giants like Google, Microsoft, and Amazon are investing in nuclear energy to power AI data centers, making uranium a primary beneficiary of AI growth. CEO Adnani explicitly frames uranium as essential fuel for the 'Age of AI,' and the global pledge to triple nuclear capacity by 2050 creates a secular demand tailwind [2]. UEC's physical uranium inventory of 1.46M lbs gains value as AI-driven electricity demand grows. The only minor AI exposure is that AI could potentially optimize mining operations for competitors, but this is marginal relative to the overwhelming structural immunity. AI Opportunity (0/1): UEC generates no revenue from AI-powered products or services. AI could enhance ISR operations through predictive wellfield modeling and automated monitoring, but no such deployment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Uranium Energy Corp Q2-Q3 Fiscal 2026 Results — $20.2M Revenue (nine months ended Apr 30, 2026), $76.6M Net Loss, 45,743 lbs Produced at $39.66/lb, Burke Hollow Production Commenced, PRNewswire, March-June 2026</w:t>
      </w:r>
    </w:p>
    <w:p>
      <w:pPr>
        <w:spacing w:before="20" w:after="20"/>
        <w:ind w:left="170"/>
      </w:pPr>
      <w:r>
        <w:rPr>
          <w:rFonts w:ascii="Calibri" w:hAnsi="Calibri"/>
          <w:b/>
          <w:color w:val="4A6B25"/>
          <w:sz w:val="15"/>
        </w:rPr>
        <w:t xml:space="preserve">2. </w:t>
      </w:r>
      <w:r>
        <w:rPr>
          <w:rFonts w:ascii="Calibri" w:hAnsi="Calibri"/>
          <w:b w:val="0"/>
          <w:color w:val="3A4A28"/>
          <w:sz w:val="17"/>
        </w:rPr>
        <w:t>Uranium Energy Corp Company Website — CEO Amir Adnani (since 2005), WNA Board Member, ISR Platform Strategy, Glassdoor 4.5/5 (100% Recommend),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Uranium Energy Corp Sustainability Report — ESG Programs, Decarbonization Roadmap, Health Physics Scholarships, Low Ecological Impact ISR Operations, FY2023</w:t>
      </w:r>
    </w:p>
    <w:p>
      <w:pPr>
        <w:spacing w:before="20" w:after="20"/>
        <w:ind w:left="170"/>
      </w:pPr>
      <w:r>
        <w:rPr>
          <w:rFonts w:ascii="Calibri" w:hAnsi="Calibri"/>
          <w:b/>
          <w:color w:val="4A6B25"/>
          <w:sz w:val="15"/>
        </w:rPr>
        <w:t xml:space="preserve">4. </w:t>
      </w:r>
      <w:r>
        <w:rPr>
          <w:rFonts w:ascii="Calibri" w:hAnsi="Calibri"/>
          <w:b w:val="0"/>
          <w:color w:val="3A4A28"/>
          <w:sz w:val="17"/>
        </w:rPr>
        <w:t>UEC Financial Metrics — Stock Price $11.35, Market Cap ~$5.6B, D/E 0.14%, $488M Cash, $794M Liquid Assets, PEG 1.37, StockAnalysis/Yahoo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