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USBC</w:t>
      </w:r>
      <w:r>
        <w:rPr>
          <w:rFonts w:ascii="Calibri" w:hAnsi="Calibri"/>
          <w:b/>
          <w:color w:val="1A2010"/>
          <w:sz w:val="40"/>
        </w:rPr>
        <w:t xml:space="preserve">  USBC, Inc.</w:t>
      </w:r>
    </w:p>
    <w:p>
      <w:pPr>
        <w:spacing w:after="120"/>
      </w:pPr>
      <w:r>
        <w:rPr>
          <w:rFonts w:ascii="Calibri" w:hAnsi="Calibri"/>
          <w:b/>
          <w:color w:val="6E8450"/>
          <w:sz w:val="18"/>
        </w:rPr>
        <w:t>GROWTH SLEEVE · 2026-07-28 · Inspire: 37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Financial Technology / Digital Assets · NYSE American · United States</w:t>
      </w:r>
    </w:p>
    <w:p>
      <w:pPr>
        <w:spacing w:after="80"/>
      </w:pPr>
      <w:r>
        <w:rPr>
          <w:rFonts w:ascii="Calibri" w:hAnsi="Calibri"/>
          <w:b w:val="0"/>
          <w:color w:val="3A4A28"/>
          <w:sz w:val="20"/>
        </w:rPr>
        <w:t>USBC, Inc. (formerly Know Labs, Inc.) is a micro-cap company that pivoted in August 2025 from non-invasive health monitoring technology to digital financial services following a $125M strategic acquisition by Greg Kidd's Goldeneye 1995 LLC. The company develops the USBC deposit token — a blockchain-based tokenized deposit embedded with digital identity — and maintains a Bitcoin treasury strategy. It completed divestiture of legacy sensor technology in April 2026 and finalized strategic partnerships with Uphold and Vast Bank.</w:t>
      </w:r>
    </w:p>
    <w:p>
      <w:r>
        <w:rPr>
          <w:rFonts w:ascii="Calibri" w:hAnsi="Calibri"/>
          <w:b/>
          <w:color w:val="6E8450"/>
          <w:sz w:val="18"/>
        </w:rPr>
        <w:t>20 Employees · https://investors.usbc.xyz</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USBC has no successful product launches or commercial validation — the company completely abandoned its prior health monitoring technology (Know Labs) and completed the divestiture of legacy sensor assets in April 2026 [1][4]. Revenue remains at zero, down from $4.4M when it was Know Labs in FY2022 [5]. The pivot to tokenized deposits has produced partnerships (Uphold, Vast Bank) but no revenue-generating products. AI Deployment (0/2): No AI products shipping and no AI-driven cost savings or revenue reported [5]. Market Share (1/2): The USBC deposit token concept positions the company in the nascent tokenized deposit space alongside Paxos and Circle, but with no commercial product, no customers, and no revenue, there is no market share [2]. Pipeline (1/2): The USBC token partnership with Uphold and Vast Bank provides more tangible pipeline visibility than April's assessment, but timelines remain vague and no revenue date has been announced [2][4]. R&amp;D Intensity (0/1): R&amp;D spending collapsed from $6.1M (FY2024) to $1.8M (FY2025) and is likely declining further after the sensor tech divestiture [5].</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USBC's stated focus on 'identity, inclusion, innovation, and risk management' is generic corporate boilerplate interchangeable with any fintech company [2]. The divestiture of the health monitoring business confirms the old purpose was abandoned entirely for the current financial services direction. Community Impact (0/2): No evidence of charitable programs or community investment from a ~20-employee company with zero revenue [5]. Employee Retention (0/2): The company has approximately 20 employees (up from 11 in April) following a complete leadership and strategic overhaul; no retention data exists for the current iteration, and headcount grew modestly while losses widened [5]. Insider Buying (1/2): CEO Greg Kidd's $125M acquisition via Goldeneye 1995 LLC represents significant financial commitment, and stock awards were granted to officers, though no new open-market buying was identified since the April assessment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FAILURE: Average daily volume of 407,630 shares x $0.37 price = $150,823, which is below the $1,000,000 minimum liquidity threshold — significantly worse than April's $426K calculation due to declining volume [5]. The stock is too illiquid for IOWN to trade. Underlying fundamentals remain deeply distressed: zero revenue (down from $4.4M when it was Know Labs), widening TTM net loss of $27.5M (up from $22.1M in FY2025), and the company disclosed it expects to continue incurring operating losses for the foreseeable future [5]. Total assets of $72.3M against total liabilities of $12.4M gives D/E of 20.7%, but this is meaningless for a company burning $27.5M annually with no revenue. Market cap of $132M (down from $145M in April) continues to be supported by speculative interest in the USBC token concept and Bitcoin treasury rather than fundamentals.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USBC under Greg Kidd is playing an overtly finite game — the company completely abandoned its prior health monitoring technology (completing divestiture in April 2026) to chase the digital assets/tokenized deposit trend. The Bitcoin treasury strategy and token-centric business model prioritize speculative narrative over building enduring value. The $125M acquisition represents financial conviction but not organizational purpose.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USBC's articulated focus on 'identity, inclusion, innovation, and risk management' is marketing language, not a Just Cause [2]. The company abandoned its previous purpose (non-invasive health monitoring) entirely when new ownership took control, and completed the divestiture of that technology in April 2026 [4]. A genuine Just Cause survives leadership transitions — USBC's cause changed completely with the acquisition. The pivot to tokenized deposits reflects financial opportunity, not a vision of a better future.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entire leadership team was replaced in August 2025 as part of the $125M acquisition [1]. With approximately 20 employees, a complete organizational overhaul less than a year ago, and the divestiture of the legacy business unit that employed the prior team, there is no basis to evaluate trust or team culture [4][5].</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USBC positions itself in the tokenized deposit space without acknowledging established competitors (Circle, Paxos, major banks developing tokenized deposits) or identifying specific rivals whose strengths could drive improvement. The company's messaging focuses on its own vision rather than competitive learning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pivot from health monitoring (Know Labs) to digital financial services (USBC) was technically a dramatic strategic shift, completed with the April 2026 sensor tech divestiture [4]. However, this was driven by new ownership rather than organic strategic evolution in service of an enduring cause. The original company didn't choose to evolve; it was purchased and redirected.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Greg Kidd committed $125M via Goldeneye 1995 LLC to acquire controlling interest, demonstrating genuine financial conviction [1]. The strategic partnerships with Uphold and Vast Bank for the tokenized deposit initiative show purposeful execution. However, the company has no results to sacrifice for long-term gain, and the Bitcoin treasury strategy is trend-following rather than courageous contrarian investing.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USBC, Inc. is a speculative micro-cap ($132M market cap) that completed its corporate transformation by divesting legacy sensor technology in April 2026 and finalizing strategic partnerships with Uphold and Vast Bank for its tokenized deposit initiative [2][4]. CEO Greg Kidd's $125M acquisition via Goldeneye 1995 LLC and his credentials as former Ripple Chief Risk Officer provide credibility in the digital assets space. The company regained NYSE American listing compliance in March 2026, and the USBC token concept — a blockchain-based tokenized deposit embedded with digital identity — addresses a growing market for regulated digital dollar solutions. D/E of 20.7% with $72.3M in total assets against $12.4M in liabilities suggests manageable financial structure [5].</w:t>
      </w:r>
    </w:p>
    <w:p>
      <w:pPr>
        <w:spacing w:after="120"/>
      </w:pPr>
      <w:r>
        <w:rPr>
          <w:rFonts w:ascii="Calibri" w:hAnsi="Calibri"/>
          <w:b w:val="0"/>
          <w:color w:val="3A4A28"/>
          <w:sz w:val="20"/>
        </w:rPr>
        <w:t>The bear case remains overwhelming for any fundamental investor. USBC generates zero revenue and lost $27.5M in the trailing twelve months (up from $22.1M in FY2025), with management explicitly stating it expects to continue incurring operating losses for the foreseeable future [5]. The liquidity floor test fails at $151K daily dollar volume ($407K shares x $0.37) — significantly worse than April's $426K — making the stock unsuitable for institutional investment. The company has no commercial product, no customers, and no revenue visibility. R&amp;D spending collapsed and the sensor tech was divested, leaving USBC with no proprietary technology. Share dilution continues with outstanding shares at 384M. The Bitcoin treasury strategy introduces cryptocurrency volatility, and the entire investment thesis depends on the tokenized deposit concept eventually generating revenue — an outcome with zero evidence to support it.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Launch of the USBC deposit token as a commercial product through the Uphold/Vast Bank partnership, generating first revenue from the tokenized deposit strategy and validating the $125M acquisition [2][4]</w:t>
      </w:r>
    </w:p>
    <w:p>
      <w:pPr>
        <w:spacing w:before="40" w:after="40"/>
        <w:ind w:left="283"/>
      </w:pPr>
      <w:r>
        <w:rPr>
          <w:rFonts w:ascii="Calibri" w:hAnsi="Calibri"/>
          <w:b/>
          <w:color w:val="4A6B25"/>
          <w:sz w:val="20"/>
        </w:rPr>
        <w:t xml:space="preserve">2. </w:t>
      </w:r>
      <w:r>
        <w:rPr>
          <w:rFonts w:ascii="Calibri" w:hAnsi="Calibri"/>
          <w:b w:val="0"/>
          <w:color w:val="3A4A28"/>
          <w:sz w:val="20"/>
        </w:rPr>
        <w:t>Bitcoin treasury appreciation — if Bitcoin prices rise, USBC's reserves could increase in value, fund operations, and extend the cash runway before revenue generation [2]</w:t>
      </w:r>
    </w:p>
    <w:p>
      <w:pPr>
        <w:spacing w:before="40" w:after="40"/>
        <w:ind w:left="283"/>
      </w:pPr>
      <w:r>
        <w:rPr>
          <w:rFonts w:ascii="Calibri" w:hAnsi="Calibri"/>
          <w:b/>
          <w:color w:val="4A6B25"/>
          <w:sz w:val="20"/>
        </w:rPr>
        <w:t xml:space="preserve">3. </w:t>
      </w:r>
      <w:r>
        <w:rPr>
          <w:rFonts w:ascii="Calibri" w:hAnsi="Calibri"/>
          <w:b w:val="0"/>
          <w:color w:val="3A4A28"/>
          <w:sz w:val="20"/>
        </w:rPr>
        <w:t>Greg Kidd's industry connections from Ripple could accelerate additional banking partnerships for tokenized deposit distribution beyond the initial Uphold/Vast Bank arrangement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Zero revenue with $27.5M annual losses (widening from $22.1M) and only ~20 employees — the company is a pre-revenue speculative vehicle with no proven business model and management-acknowledged expectation of continued losses [5]</w:t>
      </w:r>
    </w:p>
    <w:p>
      <w:pPr>
        <w:spacing w:before="40" w:after="40"/>
        <w:ind w:left="283"/>
      </w:pPr>
      <w:r>
        <w:rPr>
          <w:rFonts w:ascii="Calibri" w:hAnsi="Calibri"/>
          <w:b/>
          <w:color w:val="4A6B25"/>
          <w:sz w:val="20"/>
        </w:rPr>
        <w:t xml:space="preserve">2. </w:t>
      </w:r>
      <w:r>
        <w:rPr>
          <w:rFonts w:ascii="Calibri" w:hAnsi="Calibri"/>
          <w:b w:val="0"/>
          <w:color w:val="3A4A28"/>
          <w:sz w:val="20"/>
        </w:rPr>
        <w:t>Liquidity floor failure at $151K daily dollar volume (declining from $426K in April) — the stock is increasingly illiquid and unsuitable for institutional investment, subject to extreme volatility on minimal trading activity [5]</w:t>
      </w:r>
    </w:p>
    <w:p>
      <w:pPr>
        <w:spacing w:before="40" w:after="40"/>
        <w:ind w:left="283"/>
      </w:pPr>
      <w:r>
        <w:rPr>
          <w:rFonts w:ascii="Calibri" w:hAnsi="Calibri"/>
          <w:b/>
          <w:color w:val="4A6B25"/>
          <w:sz w:val="20"/>
        </w:rPr>
        <w:t xml:space="preserve">3. </w:t>
      </w:r>
      <w:r>
        <w:rPr>
          <w:rFonts w:ascii="Calibri" w:hAnsi="Calibri"/>
          <w:b w:val="0"/>
          <w:color w:val="3A4A28"/>
          <w:sz w:val="20"/>
        </w:rPr>
        <w:t>No proprietary technology after sensor tech divestiture — the USBC token concept has no IP protection and could be replicated by well-funded competitors (Circle, Paxos, major banks) with established market positions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USBC's planned digital assets and tokenized deposit business faces moderate AI exposure. While blockchain infrastructure itself is not directly threatened by AI, AI-powered fintech competitors (robo-advisors, AI-driven trading platforms, smart contract automation) could outcompete USBC's nascent offerings before they reach market [2]. The company has no established moat — no revenue, no customer base, no proprietary technology in its fintech direction. The completed divestiture of sensor technology means the company has no defensible IP at all [4]. The tokenized deposit concept could be replicated by well-funded competitors with AI capabilities. AI Opportunity (0/1): USBC has zero revenue, making it impossible to generate 'meaningful AI revenue.' The company's potential to integrate AI for identity verification remains theoretical with no shipping products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Greg Kidd &amp; Know Labs $125M Strategic Acquisition — Goldeneye 1995 LLC controlling interest, USBC name/ticker change, August 2025</w:t>
      </w:r>
    </w:p>
    <w:p>
      <w:pPr>
        <w:spacing w:before="20" w:after="20"/>
        <w:ind w:left="170"/>
      </w:pPr>
      <w:r>
        <w:rPr>
          <w:rFonts w:ascii="Calibri" w:hAnsi="Calibri"/>
          <w:b/>
          <w:color w:val="4A6B25"/>
          <w:sz w:val="15"/>
        </w:rPr>
        <w:t xml:space="preserve">2. </w:t>
      </w:r>
      <w:r>
        <w:rPr>
          <w:rFonts w:ascii="Calibri" w:hAnsi="Calibri"/>
          <w:b w:val="0"/>
          <w:color w:val="3A4A28"/>
          <w:sz w:val="17"/>
        </w:rPr>
        <w:t>USBC Strategic Partnerships — Uphold and Vast Bank tokenized deposit initiative, Bitcoin treasury strategy,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USBC Q1 2026 10-Q Filing — $72.3M assets, $12.4M liabilities, expected continued operating losses, SEC, May 2026</w:t>
      </w:r>
    </w:p>
    <w:p>
      <w:pPr>
        <w:spacing w:before="20" w:after="20"/>
        <w:ind w:left="170"/>
      </w:pPr>
      <w:r>
        <w:rPr>
          <w:rFonts w:ascii="Calibri" w:hAnsi="Calibri"/>
          <w:b/>
          <w:color w:val="4A6B25"/>
          <w:sz w:val="15"/>
        </w:rPr>
        <w:t xml:space="preserve">4. </w:t>
      </w:r>
      <w:r>
        <w:rPr>
          <w:rFonts w:ascii="Calibri" w:hAnsi="Calibri"/>
          <w:b w:val="0"/>
          <w:color w:val="3A4A28"/>
          <w:sz w:val="17"/>
        </w:rPr>
        <w:t>USBC Completes Divestiture of Legacy Sensor Technology Business — Press Release, April 2026</w:t>
      </w:r>
    </w:p>
    <w:p>
      <w:pPr>
        <w:spacing w:before="20" w:after="20"/>
        <w:ind w:left="170"/>
      </w:pPr>
      <w:r>
        <w:rPr>
          <w:rFonts w:ascii="Calibri" w:hAnsi="Calibri"/>
          <w:b/>
          <w:color w:val="4A6B25"/>
          <w:sz w:val="15"/>
        </w:rPr>
        <w:t xml:space="preserve">5. </w:t>
      </w:r>
      <w:r>
        <w:rPr>
          <w:rFonts w:ascii="Calibri" w:hAnsi="Calibri"/>
          <w:b w:val="0"/>
          <w:color w:val="3A4A28"/>
          <w:sz w:val="17"/>
        </w:rPr>
        <w:t>StockAnalysis / Yahoo Finance — USBC financial data, $0.37 price, 407K avg volume, -$27.5M TTM loss,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