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UTZ</w:t>
      </w:r>
      <w:r>
        <w:rPr>
          <w:rFonts w:ascii="Calibri" w:hAnsi="Calibri"/>
          <w:b/>
          <w:color w:val="1A2010"/>
          <w:sz w:val="40"/>
        </w:rPr>
        <w:t xml:space="preserve">  Utz Brands,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54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Utz Brands, Inc. manufactures and markets branded salty snacks — including potato chips, pretzels, cheese curls, tortilla chips, and pork rinds — under brands such as Utz, Zapp's, Boulder Canyon, and On The Border, distributed via direct-store-delivery and retail channels primarily in the United States. The company has agreed to be acquired by Germany's Intersnack Group in a $2.9 billion take-private transaction expected to close in Q4 2026.</w:t>
      </w:r>
    </w:p>
    <w:p>
      <w:r>
        <w:rPr>
          <w:rFonts w:ascii="Calibri" w:hAnsi="Calibri"/>
          <w:b/>
          <w:color w:val="6E8450"/>
          <w:sz w:val="18"/>
        </w:rPr>
        <w:t>5,700 Employees · https://www.utzsnacks.com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Utz's Branded Salty Snacks organic net sales growth accelerated to 4.7% in FY2025 on flavor and better-for-you innovation across Boulder Canyon and its core Utz line, while adjusted EBITDA rose 8.1% on productivity/automation gains in manufacturing and supply chain[1][2]. Total net sales growth remains modest (+2.1% FY2025), and the company is not a technology or category leader relative to Frito-Lay, reflecting solid but incremental innovation rather than a distinctive R&amp;D-driven moat[1].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Utz achieved its DEI goals ahead of schedule, cut GHG emissions 16.6% and packaging waste by 52,000 pounds in a recent reporting year, and integrated a Supplier Code of Conduct aligned to international labor and human rights standards across its supply base[5]. The pending take-private deal preserves 50% family ownership (Rice/Lissette Family Entities) alongside Intersnack, signaling continued commitment to the founding mission even as public accountability and disclosure will diminish once private[3].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Utz's GAAP profitability remains negative (profit margin -2.0%, ROE -3.1%) and revenue growth has been roughly flat over the past three fiscal years, though this masks healthier adjusted metrics (adjusted EBITDA margin 15.0%, up 80bps) and a reasonable 17.1x forward P/E[1][2]. Elevated leverage (D/E ~79%) versus food-sector peers further weighs down the mechanical infrastructure score despite management's guidance for accelerating free cash flow ($60-80 million) in 2026.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Utz shows infinite-game traits in its multi-generation family stewardship and DEI/sustainability follow-through, but the decision to sell the company to Intersnack for cash represents a finite exit event for public shareholders even as the founding family retains a long-term stake.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Utz's snacking mission is modest in scope and the pending sale to a strategic acquirer reframes the company's forward journey as private rather than as an independent long-term public compounder[3].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Achieving DEI goals ahead of schedule and maintaining an associate-centered culture point to reasonable internal trust, though detailed retention data is not disclosed[5].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Utz competes for shelf space and share against Frito-Lay/PepsiCo through brand and regional DSD strength rather than destructive pricing tactics.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Completing a multi-year supply chain and network-optimization investment cycle, and agreeing to partner with a European strategic (Intersnack) rather than remain a smaller standalone public company, reflects pragmatic adaptability to competitive scale pressures[1][3].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and the board's decision to accept a 91% premium take-private offer is a reasonable value-maximizing move for shareholders but represents a pragmatic exit rather than a bold bet on continued independent growth[3][4].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Utz Brands has agreed to be acquired by Germany's Intersnack Group for $14.25 per share in cash — a roughly 91% premium to the pre-announcement price — in a $2.9 billion enterprise-value transaction expected to close in Q4 2026, with the founding Rice/Lissette family retaining a 50% stake alongside Intersnack post-close[3][4]. With shares now trading at $14.26, essentially at the deal price, this is functionally a merger-arbitrage situation rather than a standalone growth story: further upside is capped absent a topping bid, and the remaining spread reflects closing-timeline and regulatory risk rather than fundamental re-rating potential[3].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On a standalone fundamental basis, Utz shows steady but unexciting organic growth (2.1% FY2025 net sales, 2-3% guided for 2026) with genuine productivity-driven margin improvement (adjusted EBITDA +8.1%) offset by persistent GAAP losses and elevated leverage[1]. The 58/100 overall score reflects a company with solid brand equity and ESG execution but middling mechanical infrastructure metrics; the pending acquisition is the dominant near-term variable, making this a WATCH position best evaluated as a deal-completion bet rather than a long-term compounder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Expected close of the Intersnack take-private transaction in Q4 2026 at $14.25/share cash[3]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adjusted EBITDA margin expansion from supply chain productivity gains[1][2]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Branded Salty Snacks organic growth acceleration (4.7% in FY2025) sustaining category share[1]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2026 guided free cash flow acceleration to $60-80 million supporting deal financing confidence[1]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Deal-completion risk: regulatory approval or shareholder vote delays/failure to the Intersnack transaction[3][4]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Limited upside for current holders given the stock already trades near the $14.25 deal price[3]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Persistent negative GAAP profitability and elevated leverage (D/E ~79%) if the deal were to fall through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4. </w:t>
      </w:r>
      <w:r>
        <w:rPr>
          <w:rFonts w:ascii="Calibri" w:hAnsi="Calibri"/>
          <w:b w:val="0"/>
          <w:color w:val="3A4A28"/>
          <w:sz w:val="20"/>
        </w:rPr>
        <w:t>2026 guidance calls for a 3-6% adjusted EPS decline from higher depreciation, amortization, and tax expense[1]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functions as a manufacturing and supply-chain productivity enabler for Utz — cited as a driver of the 17.5% adjusted EBITDA growth in Q4 2025 despite flat sales — rather than a threat to the branded snacking business model[2]. The more material demand-side risk is health/wellness trends (e.g., GLP-1 drug adoption) rather than AI disruption, and packaged food purchasing remains resistant to AI-native substitution.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Utz Brands Reports Fourth Quarter and Full Year 2025 Results (8-K), SEC EDGAR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Utz Brands Q4 2025 slides: Productivity gains drive 17.5% EBITDA growth despite flat sales, Investing.com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Utz Brands, Inc. and Intersnack Group GmbH &amp; Co. KG Announce Agreement to Take Utz Private, Businesswire, July 20,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Snacks maker Utz Brands to be taken private in $2.9 billion deal, CNBC,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Utz Brands 2023 Environmental, Social, and Governance Report coverage, Environment+Energy Leader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UTZ key statistics and dividend history,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