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w:t>
      </w:r>
      <w:r>
        <w:rPr>
          <w:rFonts w:ascii="Calibri" w:hAnsi="Calibri"/>
          <w:b/>
          <w:color w:val="1A2010"/>
          <w:sz w:val="40"/>
        </w:rPr>
        <w:t xml:space="preserve">  Valaris Limited</w:t>
      </w:r>
    </w:p>
    <w:p>
      <w:pPr>
        <w:spacing w:after="120"/>
      </w:pPr>
      <w:r>
        <w:rPr>
          <w:rFonts w:ascii="Calibri" w:hAnsi="Calibri"/>
          <w:b/>
          <w:color w:val="6E8450"/>
          <w:sz w:val="18"/>
        </w:rPr>
        <w:t>GROWTH SLEEVE · 2026-07-27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Bermuda</w:t>
      </w:r>
    </w:p>
    <w:p>
      <w:pPr>
        <w:spacing w:after="80"/>
      </w:pPr>
      <w:r>
        <w:rPr>
          <w:rFonts w:ascii="Calibri" w:hAnsi="Calibri"/>
          <w:b w:val="0"/>
          <w:color w:val="3A4A28"/>
          <w:sz w:val="20"/>
        </w:rPr>
        <w:t>Valaris Limited is the world's largest offshore drilling contractor, operating a fleet of ultra-deepwater drillships, versatile semisubmersibles, and modern shallow-water jackups across six continents. The company also holds a 50% interest in ARO Drilling, a joint venture with Saudi Aramco operating rigs in Saudi Arabia. Emerged from Chapter 11 bankruptcy in April 2021 with a clean balance sheet. Corporate headquarters in Houston, Texas. Pending all-stock acquisition by Transocean announced in 2026.</w:t>
      </w:r>
    </w:p>
    <w:p>
      <w:r>
        <w:rPr>
          <w:rFonts w:ascii="Calibri" w:hAnsi="Calibri"/>
          <w:b/>
          <w:color w:val="6E8450"/>
          <w:sz w:val="18"/>
        </w:rPr>
        <w:t>5,000 Employees · https://www.valaris.com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Valaris emerged from bankruptcy in April 2021 and rebuilt itself into the world's largest offshore driller with $4.9B backlog, but this represents operational recovery and fleet management rather than product innovation or business model transformation [1]. The ARO Drilling JV with Saudi Aramco (established 2017) is a strategic partnership, not a new product. AI Deployment (1/2): The ARO Drilling JV conducted a pilot in 2025 deploying ALTAVE's AI monitoring solution on nine offshore rigs, delivering measurable improvements in safety compliance, operational governance, and risk visibility [3]. This is genuine AI deployment with quantified results in a safety-critical environment. Market Share (2/2): Valaris is the world's largest offshore drilling contractor by fleet size, and upon completion of the Transocean merger will become dominant by combined fleet and contractual backlog [1][2]. Specific evidence: $4.9B backlog is the company's highest level in nearly a decade. Product Pipeline (2/2): $4.9B total backlog with over $500M in new contracts added since Q4 2025, including a multi-year VALARIS DS-4 extension offshore Brazil securing continuous work into 2030 [1]. Revenue efficiency of 98% in Q1 2026 demonstrates execution reliability that supports contract renewals. R&amp;D Intensity (0/1): Offshore drilling is capital-intensive but not R&amp;D-intensive in traditional terms; investments go to rig upgrades and maintenance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Valaris articulates corporate values — integrity, safety, excellence, respect, ingenuity, stewardship — which are thoughtful but interchangeable with any premium industrial services company [3]. There is no distinctive mission statement connecting the company's work to a broader purpose beyond providing reliable offshore drilling services. Community Impact (0/2): No specific charitable programs, foundation activity, or community investment initiatives were identified beyond standard corporate sustainability reporting. The 2025 Sustainability Report focuses on operational emissions reduction rather than community engagement [4]. Employee Retention (0/2): Valaris implemented the Workvivo employee communications platform to connect its dispersed offshore workforce, suggesting investment in employee engagement [3]. However, no specific retention data, tenure statistics, or voluntary turnover figures were found. CEO Anton Dibowitz has led since December 2021, providing leadership continuity.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profitability offset by revenue decline. D/E of 34% is well below the 70% target, scoring maximum [5]. ROE of 37.42% far exceeds the 15% target, scoring maximum. Profit margin of 45.19% massively exceeds the 20% target [5]. Forward P/E of 19.06 is just below the 20 target, scoring maximum. The critical weakness is revenue growth: Q1 2026 revenue of $465.4M was down 25% YoY as rig contracts rolled off at lower day rates during the cyclical softening, scoring 0 on YoY growth [1]. Forward PEG and 5yr Revenue CAGR are unavailable, excluded from the calculation. With 4 of 5 available metrics scoring maximum and only revenue growth scoring 0, the weighted score computes to 8/10. Liquidity: 929,891 avg volume x $79.53 = $73.9M daily dollar volume, easily clearing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Valaris plays a finite game. The company's strategic decisions — from the Transocean merger (creating the 'largest by fleet and backlog') to the focus on contract backlog growth and quarterly utilization metrics — are oriented around winning in the current offshore drilling cycle rather than building for multi-generational endurance. The post-bankruptcy rebuild demonstrated operational competence but not purpose-driven leadership. The competitive language centers on fleet size, backlog, and day rates — classic finite metrics.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Valaris does not articulate a Just Cause. The company exists to provide offshore drilling services profitably. Corporate values (integrity, safety, excellence, respect, ingenuity, stewardship) are standard for the industry and do not describe a vision of a future state that inspires sacrifice [3]. The pending Transocean merger is framed in terms of scale advantages and cost synergies — finite game language. Sinek would identify this as a company playing to win the current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Valaris implemented the Workvivo internal communications platform to connect its offshore workforce, demonstrating genuine investment in employee engagement across a geographically dispersed, challenging work environment [3]. CEO Anton Dibowitz's 4.5-year tenure provides leadership stability. The company's emphasis on safety culture (aligned with industry 'Total Recordable Incident Rate' metrics) creates some psychological safety around reporting incidents. However, no specific evidence of exceptional trust, low turnover, or employee empowerment beyond standard industry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Transocean all-stock merger is explicitly framed as creating 'the largest offshore drilling contractor by fleet size and contractual backlog' — language centered on size dominance rather than learning from competitors [2]. The competitive strategy focuses on fleet scale advantages, pricing power, and market share consolidation, which Sinek would identify as finite competitive thinking. No evidence of management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Valaris's Chapter 11 bankruptcy and emergence in April 2021 with a clean balance sheet, followed by rebuilding to the world's largest offshore driller with $4.9B backlog, represents significant organizational reinvention [1]. The ARO Drilling JV with Saudi Aramco demonstrated strategic flexibility in partnering rather than going it alone. However, the company is fundamentally doing the same thing (offshore drilling) with the same assets; the transformation was financial restructuring, not a purpose-driven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post-bankruptcy rebuild required difficult decisions about fleet rationalization, contract renegotiation, and organizational restructuring. Maintaining capital discipline with D/E of 34% while competitors lever up demonstrates long-term financial thinking. The $4.9B backlog with multi-year contracts (DS-4 secured into 2030) shows commitment to long-duration revenue over spot-market opportunism [1]. However, the Transocean merger may sacrifice independence for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Valaris trades at a trailing P/E of just 5.6x with 45.19% net margins, 37.4% ROE, and only 34% D/E — exceptional financial quality for a cyclical industrial company [5]. The $4.9B backlog, the company's highest in nearly a decade with over $500M added since Q4 2025 alone, provides multi-year revenue visibility including the VALARIS DS-4 extension into 2030 [1]. Q1 2026 revenue of $465.4M beat analyst estimates by $19.3M, and 98% revenue efficiency demonstrates industry-leading execution. The pending Transocean all-stock merger would create the world's largest offshore driller by fleet and backlog, potentially unlocking operational synergies and premium customer access [2]. Full-year 2026 revenue estimates of $2.16B suggest the trough is near as new contracts backfill expiring lower-rate agreements.</w:t>
      </w:r>
    </w:p>
    <w:p>
      <w:pPr>
        <w:spacing w:after="120"/>
      </w:pPr>
      <w:r>
        <w:rPr>
          <w:rFonts w:ascii="Calibri" w:hAnsi="Calibri"/>
          <w:b w:val="0"/>
          <w:color w:val="3A4A28"/>
          <w:sz w:val="20"/>
        </w:rPr>
        <w:t>The bear case is centered on cyclical decline and merger uncertainty. Q1 2026 revenue fell 25% YoY as the offshore drilling cycle softened, with day rates rolling lower and some rigs transitioning between contracts [1]. The Transocean all-stock merger introduces execution risk — integration of two large drilling fleets, potential culture clashes, and the exchange ratio may undervalue Valaris shareholders if Transocean's stock declines. Forward P/E of 19x (versus trailing 5.6x) signals that consensus expects significant earnings compression as the cycle turns, eliminating the apparent 'value' in the trailing multiple. The broader energy transition away from fossil fuels poses a secular headwind for offshore drilling demand over the next decade, and ESG-conscious capital flows may limit multiple expansion regardless of financial performance [4]. With no dividend and the stock trading at $79.53, shareholders depend entirely on capital appreciation or the Transocean merger closing at favorable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Transocean all-stock merger completion creating the world's largest offshore drilling contractor, potentially unlocking operational synergies, pricing power, and institutional investor interest in the combined entity [2]</w:t>
      </w:r>
    </w:p>
    <w:p>
      <w:pPr>
        <w:spacing w:before="40" w:after="40"/>
        <w:ind w:left="283"/>
      </w:pPr>
      <w:r>
        <w:rPr>
          <w:rFonts w:ascii="Calibri" w:hAnsi="Calibri"/>
          <w:b/>
          <w:color w:val="4A6B25"/>
          <w:sz w:val="20"/>
        </w:rPr>
        <w:t xml:space="preserve">2. </w:t>
      </w:r>
      <w:r>
        <w:rPr>
          <w:rFonts w:ascii="Calibri" w:hAnsi="Calibri"/>
          <w:b w:val="0"/>
          <w:color w:val="3A4A28"/>
          <w:sz w:val="20"/>
        </w:rPr>
        <w:t>$4.9B backlog converting to revenue at 98% efficiency rates, with new contract awards continuing to replace expiring agreements at stabilizing or improving day rates [1]</w:t>
      </w:r>
    </w:p>
    <w:p>
      <w:pPr>
        <w:spacing w:before="40" w:after="40"/>
        <w:ind w:left="283"/>
      </w:pPr>
      <w:r>
        <w:rPr>
          <w:rFonts w:ascii="Calibri" w:hAnsi="Calibri"/>
          <w:b/>
          <w:color w:val="4A6B25"/>
          <w:sz w:val="20"/>
        </w:rPr>
        <w:t xml:space="preserve">3. </w:t>
      </w:r>
      <w:r>
        <w:rPr>
          <w:rFonts w:ascii="Calibri" w:hAnsi="Calibri"/>
          <w:b w:val="0"/>
          <w:color w:val="3A4A28"/>
          <w:sz w:val="20"/>
        </w:rPr>
        <w:t>Rising global energy demand driven by AI data center buildout and emerging market electrification increasing long-term offshore drilling activity, particularly in deepwater basins where Valaris has fleet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revenue decline — Q1 2026 revenue fell 25% YoY as offshore drilling activity softened, and forward P/E of 19x (vs. trailing 5.6x) signals consensus expects further earnings compression [1][5]</w:t>
      </w:r>
    </w:p>
    <w:p>
      <w:pPr>
        <w:spacing w:before="40" w:after="40"/>
        <w:ind w:left="283"/>
      </w:pPr>
      <w:r>
        <w:rPr>
          <w:rFonts w:ascii="Calibri" w:hAnsi="Calibri"/>
          <w:b/>
          <w:color w:val="4A6B25"/>
          <w:sz w:val="20"/>
        </w:rPr>
        <w:t xml:space="preserve">2. </w:t>
      </w:r>
      <w:r>
        <w:rPr>
          <w:rFonts w:ascii="Calibri" w:hAnsi="Calibri"/>
          <w:b w:val="0"/>
          <w:color w:val="3A4A28"/>
          <w:sz w:val="20"/>
        </w:rPr>
        <w:t>Transocean merger execution risk — all-stock deal structure exposes Valaris shareholders to Transocean's balance sheet (higher leverage), integration complexity of two global drilling fleets, and potential exchange ratio dilution [2]</w:t>
      </w:r>
    </w:p>
    <w:p>
      <w:pPr>
        <w:spacing w:before="40" w:after="40"/>
        <w:ind w:left="283"/>
      </w:pPr>
      <w:r>
        <w:rPr>
          <w:rFonts w:ascii="Calibri" w:hAnsi="Calibri"/>
          <w:b/>
          <w:color w:val="4A6B25"/>
          <w:sz w:val="20"/>
        </w:rPr>
        <w:t xml:space="preserve">3. </w:t>
      </w:r>
      <w:r>
        <w:rPr>
          <w:rFonts w:ascii="Calibri" w:hAnsi="Calibri"/>
          <w:b w:val="0"/>
          <w:color w:val="3A4A28"/>
          <w:sz w:val="20"/>
        </w:rPr>
        <w:t>Secular energy transition headwinds as global capital flows increasingly favor renewable energy over fossil fuel exploration, potentially limiting offshore drilling investment and constraining Valaris's long-term rig demand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Offshore drilling is among the most AI-immune businesses in existence. Operating ultra-deepwater drillships and jackup rigs in extreme marine environments requires massive physical infrastructure ($300M+ per rig), highly skilled crews, complex well engineering, and extensive safety and environmental compliance. AI structurally cannot replace the physical act of drilling wells in water depths of 3,000+ meters [1]. Furthermore, AI data center expansion is increasing global electricity demand, which supports long-term oil and gas exploration activity — AI may actually increase demand for Valaris's services. The ARO Drilling JV's deployment of ALTAVE AI monitoring demonstrates that AI is an operational enhancer, not a displacement threat [3]. No analysts have flagged AI as a risk factor for offshore drilling companies. AI Opportunity (0/1): AI monitoring on ARO rigs improves safety and operational governance but does not generate AI-specific revenue for Valaris. The company is an AI adopter for internal operations, not an AI revenue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Valaris Q1 2026 Results: Revenue $465.4M, 98% Revenue Efficiency, Backlog $4.9B — BusinessWire/StockTitan, May 1, 2026</w:t>
      </w:r>
    </w:p>
    <w:p>
      <w:pPr>
        <w:spacing w:before="20" w:after="20"/>
        <w:ind w:left="170"/>
      </w:pPr>
      <w:r>
        <w:rPr>
          <w:rFonts w:ascii="Calibri" w:hAnsi="Calibri"/>
          <w:b/>
          <w:color w:val="4A6B25"/>
          <w:sz w:val="15"/>
        </w:rPr>
        <w:t xml:space="preserve">2. </w:t>
      </w:r>
      <w:r>
        <w:rPr>
          <w:rFonts w:ascii="Calibri" w:hAnsi="Calibri"/>
          <w:b w:val="0"/>
          <w:color w:val="3A4A28"/>
          <w:sz w:val="17"/>
        </w:rPr>
        <w:t>Transocean-Valaris All-Stock Merger Announcement: Creating Largest Offshore Drilling Contractor —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Valaris ARO Drilling JV AI Monitoring: ALTAVE Deployed on 9 Rigs for Safety Compliance — Offshore Energy, 2025-2026</w:t>
      </w:r>
    </w:p>
    <w:p>
      <w:pPr>
        <w:spacing w:before="20" w:after="20"/>
        <w:ind w:left="170"/>
      </w:pPr>
      <w:r>
        <w:rPr>
          <w:rFonts w:ascii="Calibri" w:hAnsi="Calibri"/>
          <w:b/>
          <w:color w:val="4A6B25"/>
          <w:sz w:val="15"/>
        </w:rPr>
        <w:t xml:space="preserve">4. </w:t>
      </w:r>
      <w:r>
        <w:rPr>
          <w:rFonts w:ascii="Calibri" w:hAnsi="Calibri"/>
          <w:b w:val="0"/>
          <w:color w:val="3A4A28"/>
          <w:sz w:val="17"/>
        </w:rPr>
        <w:t>Valaris 2025 Sustainability Report: ESG Priorities, Carbon Reduction Targets, Safety Focus — Valaris.com,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VAL Key Statistics: P/E 5.62, Forward P/E 19.06, D/E 0.34, ROE 37.42%,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