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VVR</w:t>
      </w:r>
      <w:r>
        <w:rPr>
          <w:rFonts w:ascii="Calibri" w:hAnsi="Calibri"/>
          <w:b/>
          <w:color w:val="1A2010"/>
          <w:sz w:val="40"/>
        </w:rPr>
        <w:t xml:space="preserve">  Invesco Senior Income Trust</w:t>
      </w:r>
    </w:p>
    <w:p>
      <w:pPr>
        <w:spacing w:after="120"/>
      </w:pPr>
      <w:r>
        <w:rPr>
          <w:rFonts w:ascii="Calibri" w:hAnsi="Calibri"/>
          <w:b/>
          <w:color w:val="6E8450"/>
          <w:sz w:val="18"/>
        </w:rPr>
        <w:t>DIVIDEND SLEEVE · 2026-08-07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Closed-End Fund - Senior Secured Loans · NYSE · United States</w:t>
      </w:r>
    </w:p>
    <w:p>
      <w:pPr>
        <w:spacing w:after="80"/>
      </w:pPr>
      <w:r>
        <w:rPr>
          <w:rFonts w:ascii="Calibri" w:hAnsi="Calibri"/>
          <w:b w:val="0"/>
          <w:color w:val="3A4A28"/>
          <w:sz w:val="20"/>
        </w:rPr>
        <w:t>Invesco Senior Income Trust is a closed-end fixed income fund formed in 1998 and managed by Invesco Advisers, Inc. The fund invests primarily in floating- or variable-rate senior secured loans to corporations, partnerships, and other entities across a variety of industries and geographic regions, seeking a high level of current income consistent with preservation of capital. Invesco terminated the fund's Managed Distribution Plan in March 2025, after which the monthly distribution was cut roughly 12% and the fund's price fell to a persistent discount to net asset value.</w:t>
      </w:r>
    </w:p>
    <w:p>
      <w:r>
        <w:rPr>
          <w:rFonts w:ascii="Calibri" w:hAnsi="Calibri"/>
          <w:b/>
          <w:color w:val="6E8450"/>
          <w:sz w:val="18"/>
        </w:rPr>
        <w:t>https://www.invesco.com/us/financial-products/closed-end/product-detail?audienceType=Investor&amp;fundId=30607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VVR is a passive closed-end fund that has operated the same floating-rate senior loan mandate since 1998, with no product launches, pivots, or business model transformations [1]. AI Deployment (0/2): No AI products or quantified AI-driven savings are disclosed at the fund level; Invesco's broader credit platform may use analytics tools, but none are attributed specifically to VVR [2]. Market Share (0/2): VVR ($455M market cap) is one of dozens of similar senior-loan CEFs sponsored by Invesco, BlackRock, Eaton Vance, and Nuveen, with no differentiated share position and a fund size that has been shrinking as distributions and NAV erode [2]. Pipeline (0/2): No product pipeline exists for a fixed-mandate CEF. R&amp;D Intensity (0/1): No R&amp;D spend; the fund is an investment vehicle, not a product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VVR's purpose is to 'provide a high level of current income, consistent with the preservation of capital' — a generic financial objective interchangeable with any income-oriented CEF, not a distinctive mission [1]. Community Impact (0/2): No VVR-specific charitable giving or community programs were found. Employee Retention (0/2): VVR has no employees; it is externally managed by Invesco Advisers, Inc., so retention is not applicable at the fund level. Insider Buying (0/2): No evidence of meaningful insider or manager buying in VVR shares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fund-level metrics as a dividend payer. TTM revenue (interest income) fell 18.16% YoY to $80.52M, scoring 0.06 against the 10% target/-20% floor. TTM profit margin of 16.95% ($13.65M net income / $80.52M revenue) scores 0.85 against the 20% target. ROE, estimated at ~2.7% using NAV (price grossed up for the ~9.1% market discount to NAV) as an equity proxy, scores just 0.18 against the 15% target [4]. D/E and forward P/E are not meaningfully calculable for a leveraged loan CEF and are excluded from the calculation, as is the 5-year revenue CAGR. On dividend metrics: payout ratio of 473.46% is far above the 100% floor and scores 0.0; consecutive years paid of 27 (since 1998) scores a capped 1.0 at 2x weight; consecutive years of distribution growth is 0, scoring 0.0, following the March 2025 Managed Distribution Plan termination and subsequent ~12% distribution cut; 5-year dividend growth CAGR is not reliably calculable given the plan termination and is excluded. Liquidity floor cleared: 607,910 avg volume x $2.96 = ~$1.80M daily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As a fixed-mandate closed-end fund, VVR has no capacity for a Just Cause, existential pivots, or team-building beyond what its 1998 charter and external manager allow. The March 2025 termination of the Managed Distribution Plan and subsequent ~12% distribution cut can be read as a belated, moderately courageous move toward sustainability after years of paying out more than the fund earned, but the structure itself remains a finite, income-extraction vehicle rather than a cause built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VVR exists to deliver current income from leveraged senior loans — a financial objective, not an idealistic vision of a better future [1]. The fund's 27-year continuous operating history since 1998 shows durability of mandate, but consistency of a narrow income objective is not, in Sinek's terms,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VVR is externally managed by Invesco Advisers within one of the larger global asset managers, providing institutional stability, but the fund itself has no employees or internal 'team' in the traditional sense — portfolio managers serve across multiple Invesco vehicles simultaneously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VVR competes within a mature, non-adversarial senior-loan CEF market alongside Invesco, BlackRock, Eaton Vance, and Nuveen products, none of which are framed by management as rivals to be destroyed rather than benchmarked against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 a fixed-mandate CEF, VVR cannot pivot asset classes or strategies without a formal prospectus change and shareholder/regulatory process; the 40%+ decline in interest income as rates fell was absorbed entirely through distribution cuts and NAV discount widening, not strategic adaptation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Terminating the Managed Distribution Plan in March 2025 — which had been propping up distributions above actual earned income — and subsequently cutting the monthly payout roughly 12% was a fiscally disciplined choice that accepted near-term investor criticism and a price decline in exchange for reduced NAV erosion, a modest but real instance of prioritizing fund health over headline yield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VVR offers a 15.41% headline distribution yield and 27 consecutive years of monthly distributions since 1998, backed by a diversified portfolio of floating-rate senior secured corporate loans that carry legal claim priority over unsecured creditors [1][3]. Invesco's March 2025 decision to terminate the Managed Distribution Plan — though it caused a near-term price decline — was a fiscally disciplined move that stopped the fund from systematically overdistributing relative to earned income, and the fund's 27-year track record demonstrates durability through multiple credit cycles [1].</w:t>
      </w:r>
    </w:p>
    <w:p>
      <w:pPr>
        <w:spacing w:after="120"/>
      </w:pPr>
      <w:r>
        <w:rPr>
          <w:rFonts w:ascii="Calibri" w:hAnsi="Calibri"/>
          <w:b w:val="0"/>
          <w:color w:val="3A4A28"/>
          <w:sz w:val="20"/>
        </w:rPr>
        <w:t>The bear case dominates. TTM revenue fell 18.16% YoY to $80.52M and net income fell 65.96% to $13.65M as declining benchmark rates compressed floating-rate loan income, while the payout ratio of 473.46% shows the fund is distributing many multiples of what it actually earns, guaranteeing continued reliance on return of capital and NAV erosion [1][3]. The fund's 1-year dividend growth of -11.76% following the Managed Distribution Plan termination confirms the income base cannot support even the reduced payout, and further Fed rate cuts would compress floating-rate loan yields further, likely forcing additional distribution cuts. With no capacity for strategic adaptation, no meaningful differentiation from dozens of competing senior-loan CEFs, and a fund-level ROE of roughly 2.7%, VVR is a structurally challenged income vehicle whose yield is not well supported by its earnings power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 pause or reversal in the Federal Reserve's rate-cutting cycle would boost floating-rate loan income and could stabilize or reverse the revenue decline [1]</w:t>
      </w:r>
    </w:p>
    <w:p>
      <w:pPr>
        <w:spacing w:before="40" w:after="40"/>
        <w:ind w:left="283"/>
      </w:pPr>
      <w:r>
        <w:rPr>
          <w:rFonts w:ascii="Calibri" w:hAnsi="Calibri"/>
          <w:b/>
          <w:color w:val="4A6B25"/>
          <w:sz w:val="20"/>
        </w:rPr>
        <w:t xml:space="preserve">2. </w:t>
      </w:r>
      <w:r>
        <w:rPr>
          <w:rFonts w:ascii="Calibri" w:hAnsi="Calibri"/>
          <w:b w:val="0"/>
          <w:color w:val="3A4A28"/>
          <w:sz w:val="20"/>
        </w:rPr>
        <w:t>Narrowing of the fund's discount to NAV, if credit conditions stabilize and investor sentiment toward leveraged loan CEFs improves, would benefit total returns independent of income performance [3]</w:t>
      </w:r>
    </w:p>
    <w:p>
      <w:pPr>
        <w:spacing w:before="40" w:after="40"/>
        <w:ind w:left="283"/>
      </w:pPr>
      <w:r>
        <w:rPr>
          <w:rFonts w:ascii="Calibri" w:hAnsi="Calibri"/>
          <w:b/>
          <w:color w:val="4A6B25"/>
          <w:sz w:val="20"/>
        </w:rPr>
        <w:t xml:space="preserve">3. </w:t>
      </w:r>
      <w:r>
        <w:rPr>
          <w:rFonts w:ascii="Calibri" w:hAnsi="Calibri"/>
          <w:b w:val="0"/>
          <w:color w:val="3A4A28"/>
          <w:sz w:val="20"/>
        </w:rPr>
        <w:t>Improved credit quality across the underlying senior loan portfolio would reduce default risk and support NAV preservation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Fed rate cuts would further compress floating-rate loan income, which fell 18.16% YoY already, likely forcing additional distribution cuts beyond the ~12% cut already taken in 2025 [1][3]</w:t>
      </w:r>
    </w:p>
    <w:p>
      <w:pPr>
        <w:spacing w:before="40" w:after="40"/>
        <w:ind w:left="283"/>
      </w:pPr>
      <w:r>
        <w:rPr>
          <w:rFonts w:ascii="Calibri" w:hAnsi="Calibri"/>
          <w:b/>
          <w:color w:val="4A6B25"/>
          <w:sz w:val="20"/>
        </w:rPr>
        <w:t xml:space="preserve">2. </w:t>
      </w:r>
      <w:r>
        <w:rPr>
          <w:rFonts w:ascii="Calibri" w:hAnsi="Calibri"/>
          <w:b w:val="0"/>
          <w:color w:val="3A4A28"/>
          <w:sz w:val="20"/>
        </w:rPr>
        <w:t>A payout ratio of 473.46% means the fund is distributing far more than it earns, guaranteeing ongoing NAV erosion through return-of-capital distributions regardless of near-term credit performance [3]</w:t>
      </w:r>
    </w:p>
    <w:p>
      <w:pPr>
        <w:spacing w:before="40" w:after="40"/>
        <w:ind w:left="283"/>
      </w:pPr>
      <w:r>
        <w:rPr>
          <w:rFonts w:ascii="Calibri" w:hAnsi="Calibri"/>
          <w:b/>
          <w:color w:val="4A6B25"/>
          <w:sz w:val="20"/>
        </w:rPr>
        <w:t xml:space="preserve">3. </w:t>
      </w:r>
      <w:r>
        <w:rPr>
          <w:rFonts w:ascii="Calibri" w:hAnsi="Calibri"/>
          <w:b w:val="0"/>
          <w:color w:val="3A4A28"/>
          <w:sz w:val="20"/>
        </w:rPr>
        <w:t>A credit downturn or recession would increase defaults among the fund's below-investment-grade senior loan holdings, directly impairing NAV with no offsetting strategic flexibility available to the fund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VVR's revenue derives entirely from interest income on a portfolio of floating-rate senior secured corporate loans — a physical, legally-enforceable claim on borrower cash flows that AI cannot displace or substitute [1]. Credit underwriting and loan servicing in this market remain relationship- and legal-document-driven, and no analyst commentary flags AI disruption risk for senior loan CEFs; if anything, AI-driven data center and infrastructure buildouts increase corporate borrowing demand that such funds serve. AI Opportunity (0/1): VVR generates no AI-related revenue; it is a passive holder of loan interests with no technology products of its own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PRNewswire, Nasdaq — Invesco Advisers Announces Termination of Managed Distribution Plans for Invesco Senior Income Trust, March 2025</w:t>
      </w:r>
    </w:p>
    <w:p>
      <w:pPr>
        <w:spacing w:before="20" w:after="20"/>
        <w:ind w:left="170"/>
      </w:pPr>
      <w:r>
        <w:rPr>
          <w:rFonts w:ascii="Calibri" w:hAnsi="Calibri"/>
          <w:b/>
          <w:color w:val="4A6B25"/>
          <w:sz w:val="15"/>
        </w:rPr>
        <w:t xml:space="preserve">2. </w:t>
      </w:r>
      <w:r>
        <w:rPr>
          <w:rFonts w:ascii="Calibri" w:hAnsi="Calibri"/>
          <w:b w:val="0"/>
          <w:color w:val="3A4A28"/>
          <w:sz w:val="17"/>
        </w:rPr>
        <w:t>StockAnalysis.com — VVR Key Statistics, Financial Data, Dividend History, and Quarterly Financials,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M1 Finance, AInvest coverage — VVR NAV Discount, Distribution Cut, and Yield Sustainability Analysis, 2025-2026</w:t>
      </w:r>
    </w:p>
    <w:p>
      <w:pPr>
        <w:spacing w:before="20" w:after="20"/>
        <w:ind w:left="170"/>
      </w:pPr>
      <w:r>
        <w:rPr>
          <w:rFonts w:ascii="Calibri" w:hAnsi="Calibri"/>
          <w:b/>
          <w:color w:val="4A6B25"/>
          <w:sz w:val="15"/>
        </w:rPr>
        <w:t xml:space="preserve">4. </w:t>
      </w:r>
      <w:r>
        <w:rPr>
          <w:rFonts w:ascii="Calibri" w:hAnsi="Calibri"/>
          <w:b w:val="0"/>
          <w:color w:val="3A4A28"/>
          <w:sz w:val="17"/>
        </w:rPr>
        <w:t>Invesco Senior Income Trust Fund Overview and Prospectus — Investment Objective and Mandate,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