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WAL</w:t>
      </w:r>
      <w:r>
        <w:rPr>
          <w:rFonts w:ascii="Calibri" w:hAnsi="Calibri"/>
          <w:b/>
          <w:color w:val="1A2010"/>
          <w:sz w:val="40"/>
        </w:rPr>
        <w:t xml:space="preserve">  Western Alliance Bancorporation</w:t>
      </w:r>
    </w:p>
    <w:p>
      <w:pPr>
        <w:spacing w:after="120"/>
      </w:pPr>
      <w:r>
        <w:rPr>
          <w:rFonts w:ascii="Calibri" w:hAnsi="Calibri"/>
          <w:b/>
          <w:color w:val="6E8450"/>
          <w:sz w:val="18"/>
        </w:rPr>
        <w:t>GROWTH SLEEVE · 2026-08-02 · Inspire: 43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Regional · NYSE · United States</w:t>
      </w:r>
    </w:p>
    <w:p>
      <w:pPr>
        <w:spacing w:after="80"/>
      </w:pPr>
      <w:r>
        <w:rPr>
          <w:rFonts w:ascii="Calibri" w:hAnsi="Calibri"/>
          <w:b w:val="0"/>
          <w:color w:val="3A4A28"/>
          <w:sz w:val="20"/>
        </w:rPr>
        <w:t>Western Alliance Bancorporation is a Las Vegas-based holding company operating through Western Alliance Bank, a leading national commercial bank with specialty business lines including warehouse lending, HOA banking, technology banking, digital assets banking, and consumer digital. The bank serves businesses and consumers across the western United States and nationally through its specialty divisions, with total assets exceeding $80 billion and deposits of $82.7 billion.</w:t>
      </w:r>
    </w:p>
    <w:p>
      <w:r>
        <w:rPr>
          <w:rFonts w:ascii="Calibri" w:hAnsi="Calibri"/>
          <w:b/>
          <w:color w:val="6E8450"/>
          <w:sz w:val="18"/>
        </w:rPr>
        <w:t>3,900 Employees · https://www.westernalliancebancorporation.com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Western Alliance has successfully transformed from a traditional Arizona-based regional bank into a national specialty banking platform, building positions in warehouse lending, HOA banking, technology banking, and digital assets banking over the past five years, with total deposits growing 19.3% YoY to $82.7B and net revenue up 31% YoY in Q1 2026 [1][2]. AI Deployment (0/2): No evidence of AI-powered products deployed to customers or quantified AI-driven efficiency gains. Market Share (1/2): WAL has carved out defensible specialty niches, growing assets and deposits at well above regional bank peer rates, though it does not dominate any single national banking category [1]. Product Pipeline (1/2): New CFO Vishal Idnani appointed January 2026 and banking divisions unified under a single brand; strategic pivot from balance sheet growth to value optimization through share repurchases, but no specific next-gen product launches announced [2]. R&amp;D Intensity (0/1): Technology investment not specifically quantified as a percentage of revenue relative to banking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Western Alliance positions itself with a 'people-first ethos and culture that prizes strong relationships' and values entrepreneurial spirit, innovation, and agility — clear but largely interchangeable with regional bank peers [4]. Community Impact (1/2): Published a formal Corporate Responsibility Report highlighting community engagement and responsible banking practices, with ESG material risk management rated 'Average' by Sustainalytics, though specific dollar amounts for charitable programs were not identified [4]. Employee Retention (0/2): Glassdoor ratings of 3.6 for work-life balance, 3.8 for culture/values, and 3.7 for career opportunities are average for banking, with mixed reviews citing 'lack of leadership and direction especially in the technology department' [5]. Insider Buying (1/2): Former CFO Dale Gibbons purchased $308K worth of stock at $77/share, signaling personal conviction, though broader insider activity over the last 12 months showed more selling than buying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using growth stock formula. Q2 2026 delivered net revenue of $995.7M (up 17.7% YoY) with net income of $268.8M and diluted EPS of $2.36 (up 14% YoY) [1]. Forward P/E of 7.97 and PEG of 0.70 reflect deep value pricing despite strong double-digit growth, both scoring at ceiling. Profit margin of 28.18% exceeds the 20% target, and ROE of 13.02% scores 0.87 against the 15% target [3]. D/E of 83% is near the 70% target at 0.94. Revenue growth of 18% YoY and estimated 5-year CAGR of 11% both exceed the 10% targets [1][2]. The bank raised NII growth guidance to 12-14% for 2026 and targets 16-17% ROATCE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Western Alliance is a well-run bank optimizing for growth and returns, but it lacks the distinctive purpose and long-term institutional characteristics that mark an infinite game player. CEO Kenneth Vecchione's 8.75-year tenure provides leadership stability, and the specialty banking strategy reflects genuine strategic thinking, but the company's language centers on financial performance metrics — ROATCE targets, efficiency ratios, EPS growth — rather than a vision for how banking should serve a broader purpose.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WAL's values of 'people-first ethos,' entrepreneurial spirit, and strong relationships are genuine operational principles but function as cultural descriptors rather than a Just Cause [4]. The bank exists to generate superior risk-adjusted returns through specialty niches, not to advance a future state that transcends quarterly performance.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ratings of 3.6-3.8 suggest an adequate but unremarkable workplace culture [5]. The unification of banking divisions under one brand and new CFO appointment could strengthen organizational identity, but mixed employee reviews suggest trust varies significantly by division.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WAL's competitive communication focuses on deposit growth rates, ROATCE rankings, and balance sheet metrics relative to peers — the language of winning, not of learning from rivals' strengths [1][2].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WAL evolved from a traditional Arizona-based regional bank to a national specialty banking platform with digital assets, consumer digital, warehouse lending, and HOA banking divisions — meaningful strategic adaptation that expanded its addressable market significantly [2]. The shift was incremental rather than transformative.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strategic pivot from maximizing balance sheet growth to value optimization through share repurchases at below-book valuations demonstrates disciplined capital allocation that prioritizes long-term shareholder value over near-term asset growth metrics [1]. However, WAL's strong profitability means these decisions carry less relative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Western Alliance delivered exceptional Q2 2026 results with net revenue of $995.7M (up 17.7% YoY), net income of $268.8M, and diluted EPS of $2.36 (up 14% YoY), following a blockbuster Q1 with 31% revenue growth [1][2]. At a Forward P/E of 7.97 and PEG of 0.70, WAL trades at a significant discount to its growth trajectory. Total deposits grew 19.3% YoY to $82.7B, the bank raised NII growth guidance to 12-14%, and the strategic pivot to share repurchases at below-book valuations signals management confidence in intrinsic value. The specialty banking model — warehouse lending, digital assets, technology banking — creates defensible niches with attractive unit economics and above-peer deposit growth.</w:t>
      </w:r>
    </w:p>
    <w:p>
      <w:pPr>
        <w:spacing w:after="120"/>
      </w:pPr>
      <w:r>
        <w:rPr>
          <w:rFonts w:ascii="Calibri" w:hAnsi="Calibri"/>
          <w:b w:val="0"/>
          <w:color w:val="3A4A28"/>
          <w:sz w:val="20"/>
        </w:rPr>
        <w:t>The WATCH recommendation reflects WAL's vulnerability to concentrated credit risks in commercial real estate and specialty lending, where a single large loan default could disproportionately impact earnings given the $80B+ asset base [1]. The bank's 2023 crisis — when WAL lost $3B in deposits in days following SVB's collapse — demonstrated how quickly confidence can erode in regional banks, and while deposits have more than recovered, the episode revealed structural fragility. Innovation and inspiration scores of 4 each drag the overall composite, as WAL lacks the AI capabilities, mission clarity, and cultural distinctiveness that would elevate it above a well-run but conventional banking franchise. Forward PE of 7.97 may reflect persistent market skepticism about regional bank risk rather than pure value opportunity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NII growth guidance raised to 12-14% for 2026 with continued deposit repricing tailwind and specialty business line expansion driving above-peer revenue growth [2]</w:t>
      </w:r>
    </w:p>
    <w:p>
      <w:pPr>
        <w:spacing w:before="40" w:after="40"/>
        <w:ind w:left="283"/>
      </w:pPr>
      <w:r>
        <w:rPr>
          <w:rFonts w:ascii="Calibri" w:hAnsi="Calibri"/>
          <w:b/>
          <w:color w:val="4A6B25"/>
          <w:sz w:val="20"/>
        </w:rPr>
        <w:t xml:space="preserve">2. </w:t>
      </w:r>
      <w:r>
        <w:rPr>
          <w:rFonts w:ascii="Calibri" w:hAnsi="Calibri"/>
          <w:b w:val="0"/>
          <w:color w:val="3A4A28"/>
          <w:sz w:val="20"/>
        </w:rPr>
        <w:t>Strategic shift to share repurchases at below-book-value pricing, with management reallocating capital from loan growth to buybacks due to perceived stock undervaluation [1]</w:t>
      </w:r>
    </w:p>
    <w:p>
      <w:pPr>
        <w:spacing w:before="40" w:after="40"/>
        <w:ind w:left="283"/>
      </w:pPr>
      <w:r>
        <w:rPr>
          <w:rFonts w:ascii="Calibri" w:hAnsi="Calibri"/>
          <w:b/>
          <w:color w:val="4A6B25"/>
          <w:sz w:val="20"/>
        </w:rPr>
        <w:t xml:space="preserve">3. </w:t>
      </w:r>
      <w:r>
        <w:rPr>
          <w:rFonts w:ascii="Calibri" w:hAnsi="Calibri"/>
          <w:b w:val="0"/>
          <w:color w:val="3A4A28"/>
          <w:sz w:val="20"/>
        </w:rPr>
        <w:t>Continued deposit growth at 19.3% YoY across specialty verticals including digital assets and consumer digital, expanding the national banking franchise beyond its western US base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Commercial real estate and specialty lending concentration creates outsized credit risk — a downturn in warehouse lending or technology sector could trigger disproportionate loan losses relative to the $80B+ asset base [1]</w:t>
      </w:r>
    </w:p>
    <w:p>
      <w:pPr>
        <w:spacing w:before="40" w:after="40"/>
        <w:ind w:left="283"/>
      </w:pPr>
      <w:r>
        <w:rPr>
          <w:rFonts w:ascii="Calibri" w:hAnsi="Calibri"/>
          <w:b/>
          <w:color w:val="4A6B25"/>
          <w:sz w:val="20"/>
        </w:rPr>
        <w:t xml:space="preserve">2. </w:t>
      </w:r>
      <w:r>
        <w:rPr>
          <w:rFonts w:ascii="Calibri" w:hAnsi="Calibri"/>
          <w:b w:val="0"/>
          <w:color w:val="3A4A28"/>
          <w:sz w:val="20"/>
        </w:rPr>
        <w:t>Regional bank sector carries permanent confidence risk post-SVB; WAL's 2023 deposit flight demonstrated that specialty deposit bases can be unstable despite strong fundamentals</w:t>
      </w:r>
    </w:p>
    <w:p>
      <w:pPr>
        <w:spacing w:before="40" w:after="40"/>
        <w:ind w:left="283"/>
      </w:pPr>
      <w:r>
        <w:rPr>
          <w:rFonts w:ascii="Calibri" w:hAnsi="Calibri"/>
          <w:b/>
          <w:color w:val="4A6B25"/>
          <w:sz w:val="20"/>
        </w:rPr>
        <w:t xml:space="preserve">3. </w:t>
      </w:r>
      <w:r>
        <w:rPr>
          <w:rFonts w:ascii="Calibri" w:hAnsi="Calibri"/>
          <w:b w:val="0"/>
          <w:color w:val="3A4A28"/>
          <w:sz w:val="20"/>
        </w:rPr>
        <w:t>Fintech and AI-powered lending platforms are increasingly competing for WAL's commercial and consumer lending business, threatening to compress margins in its most profitable specialty niches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Western Alliance's specialty banking model — warehouse lending, HOA banking, technology banking, digital assets — relies on complex relationship management, domain expertise, and regulatory knowledge that AI cannot easily substitute [1][2]. Physical branch presence, regulatory capital requirements, and high switching costs in commercial lending provide structural protection. However, fintech and AI-powered lending platforms are increasingly pressuring traditional loan origination, credit scoring, and consumer banking processes, and WAL's Consumer Digital division faces intensifying competition from AI-enabled neobanks. AI Opportunity (0/1): No evidence of meaningful AI-related revenue, AI products deployed to customers, or quantified AI-driven operational savings.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Western Alliance Bancorporation Q2 2026 Financial Results — Business Wire / Morningstar, July 2026</w:t>
      </w:r>
    </w:p>
    <w:p>
      <w:pPr>
        <w:spacing w:before="20" w:after="20"/>
        <w:ind w:left="170"/>
      </w:pPr>
      <w:r>
        <w:rPr>
          <w:rFonts w:ascii="Calibri" w:hAnsi="Calibri"/>
          <w:b/>
          <w:color w:val="4A6B25"/>
          <w:sz w:val="15"/>
        </w:rPr>
        <w:t xml:space="preserve">2. </w:t>
      </w:r>
      <w:r>
        <w:rPr>
          <w:rFonts w:ascii="Calibri" w:hAnsi="Calibri"/>
          <w:b w:val="0"/>
          <w:color w:val="3A4A28"/>
          <w:sz w:val="17"/>
        </w:rPr>
        <w:t>Western Alliance Bancorporation Q1 2026 Earnings Release and Investor Presentation, April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Stock Analysis — WAL Key Statistics and Financial Data,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Western Alliance 2024 Corporate Responsibility Report — westernalliancebancorporation.com</w:t>
      </w:r>
    </w:p>
    <w:p>
      <w:pPr>
        <w:spacing w:before="20" w:after="20"/>
        <w:ind w:left="170"/>
      </w:pPr>
      <w:r>
        <w:rPr>
          <w:rFonts w:ascii="Calibri" w:hAnsi="Calibri"/>
          <w:b/>
          <w:color w:val="4A6B25"/>
          <w:sz w:val="15"/>
        </w:rPr>
        <w:t xml:space="preserve">5. </w:t>
      </w:r>
      <w:r>
        <w:rPr>
          <w:rFonts w:ascii="Calibri" w:hAnsi="Calibri"/>
          <w:b w:val="0"/>
          <w:color w:val="3A4A28"/>
          <w:sz w:val="17"/>
        </w:rPr>
        <w:t>Glassdoor — Western Alliance Bank Employee Reviews,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