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WDS</w:t>
      </w:r>
      <w:r>
        <w:rPr>
          <w:rFonts w:ascii="Calibri" w:hAnsi="Calibri"/>
          <w:b/>
          <w:color w:val="1A2010"/>
          <w:sz w:val="40"/>
        </w:rPr>
        <w:t xml:space="preserve">  Woodside Energy Group Ltd.</w:t>
      </w:r>
    </w:p>
    <w:p>
      <w:pPr>
        <w:spacing w:after="120"/>
      </w:pPr>
      <w:r>
        <w:rPr>
          <w:rFonts w:ascii="Calibri" w:hAnsi="Calibri"/>
          <w:b/>
          <w:color w:val="6E8450"/>
          <w:sz w:val="18"/>
        </w:rPr>
        <w:t>DIVIDEND SLEEVE · 2026-08-06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Australia</w:t>
      </w:r>
    </w:p>
    <w:p>
      <w:pPr>
        <w:spacing w:after="80"/>
      </w:pPr>
      <w:r>
        <w:rPr>
          <w:rFonts w:ascii="Calibri" w:hAnsi="Calibri"/>
          <w:b w:val="0"/>
          <w:color w:val="3A4A28"/>
          <w:sz w:val="20"/>
        </w:rPr>
        <w:t>Woodside Energy Group Ltd. is a global energy company and one of the world's largest independent LNG producers. Following the 2022 merger with BHP Petroleum, Woodside operates a diversified portfolio of LNG, oil, and gas assets primarily in Australia's North West Shelf, the Gulf of Mexico, and international exploration positions. Major assets include the North West Shelf, Pluto LNG, and the Scarborough Energy Project. Listed on ASX and NYSE (ADR), headquartered in Perth, Australia.</w:t>
      </w:r>
    </w:p>
    <w:p>
      <w:r>
        <w:rPr>
          <w:rFonts w:ascii="Calibri" w:hAnsi="Calibri"/>
          <w:b/>
          <w:color w:val="6E8450"/>
          <w:sz w:val="18"/>
        </w:rPr>
        <w:t>6,500 Employees · https://www.woodside.com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2022 merger with BHP Petroleum doubled Woodside's production capacity and created a top-10 global independent energy company, representing a significant business model transformation from a mid-cap Australian LNG operator to a diversified global energy major [1][2]. The Scarborough Energy Project — a US$12B+ greenfield LNG development now 98% complete — demonstrates large-scale project execution capability. AI Deployment (1/2): Woodside has embedded AI across its operations and is scaling agentic AI strategy following years of investment in machine learning for analytics, predictive maintenance, and production optimization [3]. Every AI use case is assessed through a Responsible AI framework. However, no specific quantified cost savings or revenue from AI have been publicly reported. Market Share (1/2): Woodside is among the world's largest independent LNG producers with significant market presence in the Asia-Pacific LNG market, but ranks behind Qatar Energy, Shell, and TotalEnergies globally [1]. Product Pipeline (2/2): Scarborough Energy Project at 98% completion targeting first LNG cargo Q4 2026, and Julimar Development Phase 3 with startup targeted H2 2026 — both have specific timelines and clear revenue visibility [1]. R&amp;D Intensity (0/1): As an upstream E&amp;P company, R&amp;D spend is below technology sector averages; innovation is channeled through project development and operational technology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Woodside's purpose centers on 'providing the energy the world needs' through reliable and responsible operations — clear about what the company does but functionally interchangeable with any major energy company [4]. The mission statement lacks a distinctive vision of a better future beyond energy provision. Community Impact (0/2): Woodside's community record is complicated — indigenous groups have demanded a public apology for the destruction of more than 4,000 pieces of cultural heritage in the 1970s, and the 2024 AGM was described as 'chaotic' with accusations of cultural destruction and greenwashing [5]. Rising operational fatalities (16 in 2023, up from 14 in 2022) further undermine the social license narrative. Employee Retention (1/2): 76% of Glassdoor reviewers would recommend working at Woodside, with 4.0 work-life balance and 3.9 culture ratings — adequate for the energy sector but not indicative of mission-driven retention [3]. Leadership transition from CEO Meg O'Neill to Acting CEO Liz Westcott in December 2025 creates organizational uncertainty. Insider Buying (1/2): Board members made share purchases in early 2025, providing a modest insider buying signal, though no significant net insider buying by executives has been identified in recent quarters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operating revenue jumped 28% YoY to $4.18B driven by 35% rise in average realized prices to $85/boe, with H1 2026 revenue of $7.45B up 13% from $6.59B in H1 2025 [1]. Conservative D/E of 34% provides financial flexibility for capital-intensive LNG developments, and profit margin of 20.9% reflects efficient operations. Weakness in ROE at 7.2%, well below the 15% target, reflecting the diluted equity base post-BHP merger. 5yr revenue CAGR of ~18% is strong but entirely acquisition-driven from the 2022 BHP Petroleum merger. Dividend metrics weigh on the score — payout ratio of 72% exceeds the 40% target, and commodity-linked dividends show no consecutive growth streak with the payout cut in 2024 amid lower prices [2]. Forward P/E of 18.2 is reasonably valued relative to the energy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Woodside operates with a predominantly finite mindset focused on maximizing near-term production and shareholder returns from fossil fuel assets. The 58% shareholder vote against the company's climate strategy, former CEO Meg O'Neill's dismissal of climate activists as 'over-zealous' and 'ideological,' and the company's aggressive LNG expansion without meaningful renewable energy diversification reflect a company playing to win this decade's energy game rather than building to endure through the energy transition. The CEO departure and acting leadership add organizational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Woodside's purpose of 'providing the energy the world needs' is functional but interchangeable with any energy company — it describes what Woodside does, not why it exists or what better future it envisions [4]. The 58% shareholder vote against the company's climate strategy and CEO Meg O'Neill's controversial dismissal of climate activists suggest leadership does not hold a Just Cause that would inspire sacrifice or transcend quarterly production targets [5]. The purpose statement has not shaped strategic decisions toward long-term sustainability.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76% recommendation, 4.0 work-life balance, and 3.9 culture suggest an adequate working environment for the energy sector [3]. Woodside built a leadership development program with UNSW to strengthen organizational capabilities. However, the December 2025 CEO transition from Meg O'Neill to Acting CEO Liz Westcott introduces leadership uncertainty, and rising operational fatalities (16 in 2023) raise questions about frontline safety culture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Woodside's competitive language focuses on production growth, cost competitiveness, and market share in LNG rather than learning from rivals. Former CEO O'Neill's dismissal of environmental critics as 'over-zealous' and 'ideological' reflects a defensive posture inconsistent with the infinite game concept of worthy rivals, where even critics can reveal weaknesses worth addressing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Woodside is doubling down on its core fossil fuel business model — the $12B+ Scarborough LNG project, continued Gulf of Mexico investments, and exploration expansion represent a commitment to the existing business model rather than transformative adaptation to the energy transition [1]. While LNG is positioned as a transition fuel, the company has made no meaningful strategic pivot toward renewables or alternative energy. The 58% shareholder rejection of the climate plan suggests even investors see a company clinging to its legacy model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$12B+ Scarborough LNG commitment demonstrates willingness to make large, long-cycle capital bets that sacrifice near-term free cash flow for decades of future production [1]. The BHP Petroleum merger was a transformative strategic decision made during commodity cycle uncertainty. However, the courage is applied exclusively to the existing fossil fuel business — leadership has shown no courage in addressing the energy transition or responding to the 58% shareholder rejection of its climate strategy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Woodside Energy delivered strong Q2 2026 results with operating revenue of $4.18B (up 28% YoY) driven by a 35% rise in average realized prices to $85/boe, and the Scarborough Energy Project at 98% completion targeting first LNG cargo in Q4 2026 will add significant production capacity [1]. At a forward P/E of 18.2 and dividend yield of 4.76%, the stock offers compelling income for energy investors. Conservative D/E of 34% provides financial flexibility, and the post-BHP merger portfolio creates diversified exposure across Australia's premier LNG assets and Gulf of Mexico operations. Global LNG demand continues to grow, driven by Asian industrialization and European energy security needs, with AI data center expansion providing an incremental demand catalyst.</w:t>
      </w:r>
    </w:p>
    <w:p>
      <w:pPr>
        <w:spacing w:after="120"/>
      </w:pPr>
      <w:r>
        <w:rPr>
          <w:rFonts w:ascii="Calibri" w:hAnsi="Calibri"/>
          <w:b w:val="0"/>
          <w:color w:val="3A4A28"/>
          <w:sz w:val="20"/>
        </w:rPr>
        <w:t>The bear case centers on Woodside's fundamental exposure to the energy transition — the company is making $12B+ bets on multi-decade fossil fuel infrastructure while 58% of shareholders rejected its climate strategy, signaling governance and stranded asset risk [5]. The CEO departure in December 2025 and current interim leadership create strategic uncertainty at a critical execution moment for Scarborough. Commodity-dependent dividends with a 72% payout ratio and no consecutive growth history make the income stream unreliable — the 2024 dividend cut demonstrated this vulnerability. ROE of 7.2% is weak relative to the equity base diluted by the BHP merger, and rising operational fatalities (16 in 2023) suggest safety culture concerns that could result in regulatory action or production shutdowns [5]. Currency risk from AUD-denominated costs against USD-denominated revenue adds earnings volatility for ADR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Scarborough Energy Project first LNG cargo in Q4 2026, adding approximately 8 MTPA of LNG capacity that could generate $3-4B in incremental annual revenue at current LNG prices</w:t>
      </w:r>
    </w:p>
    <w:p>
      <w:pPr>
        <w:spacing w:before="40" w:after="40"/>
        <w:ind w:left="283"/>
      </w:pPr>
      <w:r>
        <w:rPr>
          <w:rFonts w:ascii="Calibri" w:hAnsi="Calibri"/>
          <w:b/>
          <w:color w:val="4A6B25"/>
          <w:sz w:val="20"/>
        </w:rPr>
        <w:t xml:space="preserve">2. </w:t>
      </w:r>
      <w:r>
        <w:rPr>
          <w:rFonts w:ascii="Calibri" w:hAnsi="Calibri"/>
          <w:b w:val="0"/>
          <w:color w:val="3A4A28"/>
          <w:sz w:val="20"/>
        </w:rPr>
        <w:t>Rising global LNG demand driven by Asian industrialization, European energy security diversification from Russian gas, and AI data center electricity demand growth requiring natural gas peaking capacity</w:t>
      </w:r>
    </w:p>
    <w:p>
      <w:pPr>
        <w:spacing w:before="40" w:after="40"/>
        <w:ind w:left="283"/>
      </w:pPr>
      <w:r>
        <w:rPr>
          <w:rFonts w:ascii="Calibri" w:hAnsi="Calibri"/>
          <w:b/>
          <w:color w:val="4A6B25"/>
          <w:sz w:val="20"/>
        </w:rPr>
        <w:t xml:space="preserve">3. </w:t>
      </w:r>
      <w:r>
        <w:rPr>
          <w:rFonts w:ascii="Calibri" w:hAnsi="Calibri"/>
          <w:b w:val="0"/>
          <w:color w:val="3A4A28"/>
          <w:sz w:val="20"/>
        </w:rPr>
        <w:t>Realized prices recovering — Q2 2026 average of $85/boe was up 35% YoY, and if commodity prices sustain, the company could restore dividend growth and drive meaningful free cash flow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58% shareholder rejection of climate strategy creates ESG governance risk and potential stranded asset exposure as the energy transition accelerates, with regulatory tightening possible in Australia and export markets</w:t>
      </w:r>
    </w:p>
    <w:p>
      <w:pPr>
        <w:spacing w:before="40" w:after="40"/>
        <w:ind w:left="283"/>
      </w:pPr>
      <w:r>
        <w:rPr>
          <w:rFonts w:ascii="Calibri" w:hAnsi="Calibri"/>
          <w:b/>
          <w:color w:val="4A6B25"/>
          <w:sz w:val="20"/>
        </w:rPr>
        <w:t xml:space="preserve">2. </w:t>
      </w:r>
      <w:r>
        <w:rPr>
          <w:rFonts w:ascii="Calibri" w:hAnsi="Calibri"/>
          <w:b w:val="0"/>
          <w:color w:val="3A4A28"/>
          <w:sz w:val="20"/>
        </w:rPr>
        <w:t>CEO vacancy with Acting CEO Liz Westcott since December 2025 introduces strategic uncertainty during critical Scarborough execution and portfolio optimization decisions</w:t>
      </w:r>
    </w:p>
    <w:p>
      <w:pPr>
        <w:spacing w:before="40" w:after="40"/>
        <w:ind w:left="283"/>
      </w:pPr>
      <w:r>
        <w:rPr>
          <w:rFonts w:ascii="Calibri" w:hAnsi="Calibri"/>
          <w:b/>
          <w:color w:val="4A6B25"/>
          <w:sz w:val="20"/>
        </w:rPr>
        <w:t xml:space="preserve">3. </w:t>
      </w:r>
      <w:r>
        <w:rPr>
          <w:rFonts w:ascii="Calibri" w:hAnsi="Calibri"/>
          <w:b w:val="0"/>
          <w:color w:val="3A4A28"/>
          <w:sz w:val="20"/>
        </w:rPr>
        <w:t>Commodity-dependent dividend with 72% payout ratio and 0 years of consecutive growth — the 2024 cut demonstrates that income-seeking investors face unreliable distributions in a cyclical energy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Woodside's core business — extracting, processing, liquefying, and transporting natural gas and oil — involves physical-world operations that AI structurally cannot displace [1]. LNG production requires massive physical infrastructure (trains, ships, pipelines), deep regulatory expertise, environmental permitting, and capital-intensive assets built over decades. AI cannot substitute for molecules. Furthermore, AI data center expansion is driving incremental electricity and gas demand, potentially increasing the value of Woodside's LNG production [1][3]. The only exposure is operational efficiency competition — rivals deploying AI faster could gain cost advantages in exploration and production optimization. AI Opportunity (0/1): Woodside is deploying AI internally for predictive maintenance, analytics, and operational optimization through its agentic AI strategy, but this generates cost savings rather than AI revenue and no quantified financial impact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Woodside Energy Q2 2026 Operating Revenue Report — Yahoo Finance, Grafa, MarketScreener, July 2026</w:t>
      </w:r>
    </w:p>
    <w:p>
      <w:pPr>
        <w:spacing w:before="20" w:after="20"/>
        <w:ind w:left="170"/>
      </w:pPr>
      <w:r>
        <w:rPr>
          <w:rFonts w:ascii="Calibri" w:hAnsi="Calibri"/>
          <w:b/>
          <w:color w:val="4A6B25"/>
          <w:sz w:val="15"/>
        </w:rPr>
        <w:t xml:space="preserve">2. </w:t>
      </w:r>
      <w:r>
        <w:rPr>
          <w:rFonts w:ascii="Calibri" w:hAnsi="Calibri"/>
          <w:b w:val="0"/>
          <w:color w:val="3A4A28"/>
          <w:sz w:val="17"/>
        </w:rPr>
        <w:t>Woodside Energy Financial Statistics — StockAnalysis, GuruFocus, Macroaxis,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Woodside Energy AI Strategy and Glassdoor Reviews — AI Magazine,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Woodside Energy Corporate Website — Mission and Innovation,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Woodside Energy ESG Controversies — Climate Plan Rejection, AGM Controversy, CEO Comments — The Fifth Estate, Greenly, ainvest, 2024-2026</w:t>
      </w:r>
    </w:p>
    <w:p>
      <w:pPr>
        <w:spacing w:before="20" w:after="20"/>
        <w:ind w:left="170"/>
      </w:pPr>
      <w:r>
        <w:rPr>
          <w:rFonts w:ascii="Calibri" w:hAnsi="Calibri"/>
          <w:b/>
          <w:color w:val="4A6B25"/>
          <w:sz w:val="15"/>
        </w:rPr>
        <w:t xml:space="preserve">6. </w:t>
      </w:r>
      <w:r>
        <w:rPr>
          <w:rFonts w:ascii="Calibri" w:hAnsi="Calibri"/>
          <w:b w:val="0"/>
          <w:color w:val="3A4A28"/>
          <w:sz w:val="17"/>
        </w:rPr>
        <w:t>Woodside Energy Insider Trading and Financial Data — TipRanks, 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