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WES</w:t>
      </w:r>
      <w:r>
        <w:rPr>
          <w:rFonts w:ascii="Calibri" w:hAnsi="Calibri"/>
          <w:b/>
          <w:color w:val="1A2010"/>
          <w:sz w:val="40"/>
        </w:rPr>
        <w:t xml:space="preserve">  Western Midstream Partners, LP</w:t>
      </w:r>
    </w:p>
    <w:p>
      <w:pPr>
        <w:spacing w:after="120"/>
      </w:pPr>
      <w:r>
        <w:rPr>
          <w:rFonts w:ascii="Calibri" w:hAnsi="Calibri"/>
          <w:b/>
          <w:color w:val="6E8450"/>
          <w:sz w:val="18"/>
        </w:rPr>
        <w:t>DIVIDEND SLEEVE · 2026-07-29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Western Midstream Partners, LP is a master limited partnership formed to acquire, own, develop, and operate midstream assets. The partnership provides natural gas gathering, processing, and transportation services as well as crude oil gathering and produced water disposal services, primarily in the DJ Basin (Colorado) and Delaware Basin (West Texas/New Mexico). Formerly an Anadarko Petroleum subsidiary, WES became independently managed following Occidental Petroleum's acquisition of Anadarko in 2019.</w:t>
      </w:r>
    </w:p>
    <w:p>
      <w:r>
        <w:rPr>
          <w:rFonts w:ascii="Calibri" w:hAnsi="Calibri"/>
          <w:b/>
          <w:color w:val="6E8450"/>
          <w:sz w:val="18"/>
        </w:rPr>
        <w:t>1,900 Employees · https://www.westernmidstream.com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Western Midstream's primary strategic evolution over the past five years has been its transition from Anadarko/Occidental subsidiary to independently managed partnership, accompanied by meaningful operational efficiency improvements and asset optimization [1]. Revenue grew to $3.84B TTM with record adjusted EBITDA of $2.48B in 2025, but the core business of gathering, processing, and transporting hydrocarbons is fundamentally unchanged. AI Deployment (0/2): No evidence of AI-powered products shipping to customers or specific AI-driven cost savings reported in earnings calls or public filings. Market Share (2/2): WES is one of the largest midstream partnerships in the United States with dominant gathering and processing positions in the DJ Basin and Delaware Basin — two of the most productive hydrocarbon basins in North America [1][2]. Revenue of $3.84B and $17.2B market cap place it among the top midstream operators. Product Pipeline (1/2): The company has $850M-$1B in planned capital expenditures for 2026 with specific expansion projects targeting DJ Basin and Delaware Basin capacity growth, and 2026 EBITDA guidance of $2.5-2.7B provides visibility [1]. R&amp;D Intensity (0/1): As a midstream infrastructure partnership, WES does not report R&amp;D spending — capital is deployed into infrastructure construction, maintenance, and acquisitions.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WES Way' articulates values of partnership, customer focus, resourcefulness, and performance — generic corporate values that are interchangeable with any midstream operator [3]. The company does not articulate a distinctive purpose or vision of a better future beyond operational excellence and unitholder returns. Community Impact (1/2): WES is committed to responsible operations and contributing to local communities and workforce development in its operating regions, but no distinctive large-scale charitable initiatives or community investment programs were documented [4]. Standard for the midstream sector. Employee Retention (1/2): Recent CEO transition — Oscar Brown replaced Michael Ure in October 2024 — was orderly, with Brown bringing 30 years of energy sector experience from Occidental Petroleum [3]. The transition signals organizational change, and Brown received a $6M equity grant aligning his interests with unitholders. No specific employee tenure or turnover data available. Insider Buying (1/2): New CEO Oscar Brown received significant equity compensation ($6M grant), aligning management with unitholders, but no notable net insider purchases beyond compensation-related transactions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WES delivered record FY2025 adjusted EBITDA of $2.48B and TTM revenue of $3.84B with ROE of 32.2% and profit margin of 30.0% — strong profitability metrics reflecting the fee-based revenue model and operational leverage [1][2]. Forward P/E of 13.51 is well below the 20 target, and revenue growth of 10.95% YoY meets the target threshold. D/E of 212% is elevated but moderated by predictable long-term contract cash flows. The primary scoring weakness is the high payout ratio — distributions of $3.72/unit annualized against net income yield a payout ratio exceeding 100% based on GAAP net income, though MLP payout is more appropriately measured against distributable cash flow (which covers the distribution at ~94% of DCF) [1]. Consecutive years paid of 14 reflects uninterrupted distributions since the 2012 IPO.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Western Midstream operates with predominantly finite game characteristics. The partnership's primary purpose is generating distributions for unitholders, and strategic decisions are evaluated through a return-on-capital lens rather than a purpose-driven framework. The recent CEO transition and 'The WES Way' values represent an attempt to define organizational identity, but the company lacks a Just Cause that transcends financial performance. The commitment to maintaining and growing distributions through commodity cycles shows some long-term orientation, but the partnership structure inherently prioritizes near-term cash distribution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WES Way' defines values of partnership, customer focus, resourcefulness, and performance [3]. These are standard corporate values, not a Just Cause — they describe how WES operates, not why it exists or what future state it's advancing toward. The company's fundamental purpose is generating distributions for unitholders by efficiently operating midstream infrastructure. Sinek would view this as a typical finite player — clear goals, well-executed strategy, but no compelling vision of a better world that inspires sacrifice or long-term commitment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Michael Ure to Oscar Brown in October 2024 was orderly, with Ure departing and Brown receiving a substantial $6M equity grant that aligns his interests with the partnership [3]. WES emphasizes an 'innovative and collaborative work environment' as part of its culture. However, a CEO change introduces organizational uncertainty, and no specific data on employee tenure, voluntary turnover, or cultural health was found. The company is relatively small (~1,900 employees), which can foster closer-knit teams but also concentrate key-person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WES operates in a concentrated midstream sector alongside Targa Resources, ONEOK, Enterprise Products, and Energy Transfer, and management commentary focuses on improving WES's own operational efficiency and expanding basin positions rather than competitive attacks [1][2]. The partnership's strategy of focusing on the DJ and Delaware Basins reflects learning from peers' broader geographic footprints and choosing depth over breadth as a competitive differentiator.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WES's most significant strategic evolution was the transition from an Anadarko/Occidental subsidiary to an independently managed partnership, requiring a fundamental restructuring of governance, management, and commercial relationships [1]. The company also reduced its distribution during the 2020 commodity crash, preserving balance sheet strength, and subsequently rebuilt it to record levels — demonstrating willingness to make painful short-term decisions for long-term viability. However, the core business model of midstream gathering and processing has remained constant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WES demonstrated courage by cutting its distribution 80% during the 2020 commodity downturn (from $1.57 to $0.31/quarter) to preserve financial flexibility when many MLP peers clung to unsustainable payouts [1]. The decision to replace the CEO in late 2024 with Oscar Brown from Occidental shows willingness to make leadership changes for strategic purposes. However, the distribution cut was partly driven by Occidental's priorities, and the current strategy of maximizing distributions and returns to unitholders reflects financial optimization rather than courageous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Midstream delivered record FY2025 adjusted EBITDA of $2.48B and TTM revenue of $3.84B, with the partnership raising 2026 distribution guidance to at least $3.70/unit ($3.72 annualized for Q2 2026) — an 8.52% yield at the current price of $43.67 [1][2]. The company trades at a compelling 13.51x forward earnings with 30% profit margin and 32.2% ROE, reflecting strong fee-based cash flow conversion. 2026 EBITDA guidance of $2.5-2.7B with reduced capex of $850M-$1B positions WES to generate substantial free cash flow. Dominant positions in the prolific DJ and Delaware Basins provide production-driven organic growth, and AI data center construction is creating incremental natural gas demand as a structural tailwind.</w:t>
      </w:r>
    </w:p>
    <w:p>
      <w:pPr>
        <w:spacing w:after="120"/>
      </w:pPr>
      <w:r>
        <w:rPr>
          <w:rFonts w:ascii="Calibri" w:hAnsi="Calibri"/>
          <w:b w:val="0"/>
          <w:color w:val="3A4A28"/>
          <w:sz w:val="20"/>
        </w:rPr>
        <w:t>The primary risk is that WES's distribution exceeds GAAP net income (payout ratio ~128% of earnings), creating reliance on depreciation-shielded cash flow to fund unitholdings returns — while standard for MLPs, this becomes vulnerable if capital expenditure requirements increase or production volumes decline [1]. D/E of 212% represents meaningful leverage risk in a rising rate environment, and the partnership's concentration in the DJ and Delaware Basins creates geographic risk if either basin faces regulatory restrictions or production declines. The recent CEO transition introduces execution uncertainty as Oscar Brown implements his strategic vision. WES's long-term revenue growth narrative ($4.5B revenue by 2028) requires 7.1% annual growth, which depends on continued producer drilling activity and commodity prices remaining supportive [2]. Sustainalytics has flagged ESG controversy exposure in recent years, suggesting potential environmental or operational incidents that could create reputational and regulatory headwinds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growth to $3.72+/unit annualized (8.52% yield) supported by record EBITDA and reduced capital intensity, with management targeting continued distribution increases through 2027</w:t>
      </w:r>
    </w:p>
    <w:p>
      <w:pPr>
        <w:spacing w:before="40" w:after="40"/>
        <w:ind w:left="283"/>
      </w:pPr>
      <w:r>
        <w:rPr>
          <w:rFonts w:ascii="Calibri" w:hAnsi="Calibri"/>
          <w:b/>
          <w:color w:val="4A6B25"/>
          <w:sz w:val="20"/>
        </w:rPr>
        <w:t xml:space="preserve">2. </w:t>
      </w:r>
      <w:r>
        <w:rPr>
          <w:rFonts w:ascii="Calibri" w:hAnsi="Calibri"/>
          <w:b w:val="0"/>
          <w:color w:val="3A4A28"/>
          <w:sz w:val="20"/>
        </w:rPr>
        <w:t>AI data center construction driving incremental natural gas demand in the DJ and Delaware Basins, where WES has dominant gathering and processing infrastructure</w:t>
      </w:r>
    </w:p>
    <w:p>
      <w:pPr>
        <w:spacing w:before="40" w:after="40"/>
        <w:ind w:left="283"/>
      </w:pPr>
      <w:r>
        <w:rPr>
          <w:rFonts w:ascii="Calibri" w:hAnsi="Calibri"/>
          <w:b/>
          <w:color w:val="4A6B25"/>
          <w:sz w:val="20"/>
        </w:rPr>
        <w:t xml:space="preserve">3. </w:t>
      </w:r>
      <w:r>
        <w:rPr>
          <w:rFonts w:ascii="Calibri" w:hAnsi="Calibri"/>
          <w:b w:val="0"/>
          <w:color w:val="3A4A28"/>
          <w:sz w:val="20"/>
        </w:rPr>
        <w:t>Reduced 2026 capex of $850M-$1B versus prior years enables higher free cash flow conversion, supporting unit buybacks and distribution growth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payout exceeds GAAP net income at ~128% payout ratio, creating reliance on depreciation-shielded cash flow — any increase in sustaining capex requirements could pressure distribution sustainability</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the DJ and Delaware Basins creates risk from Colorado regulatory actions, produced water disposal restrictions, or production declines in either basin</w:t>
      </w:r>
    </w:p>
    <w:p>
      <w:pPr>
        <w:spacing w:before="40" w:after="40"/>
        <w:ind w:left="283"/>
      </w:pPr>
      <w:r>
        <w:rPr>
          <w:rFonts w:ascii="Calibri" w:hAnsi="Calibri"/>
          <w:b/>
          <w:color w:val="4A6B25"/>
          <w:sz w:val="20"/>
        </w:rPr>
        <w:t xml:space="preserve">3. </w:t>
      </w:r>
      <w:r>
        <w:rPr>
          <w:rFonts w:ascii="Calibri" w:hAnsi="Calibri"/>
          <w:b w:val="0"/>
          <w:color w:val="3A4A28"/>
          <w:sz w:val="20"/>
        </w:rPr>
        <w:t>Recent CEO transition (Oscar Brown replacing Michael Ure in October 2024) introduces strategic execution uncertainty; Sustainalytics has flagged elevated ESG controversy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Western Midstream's core business — gathering, processing, and transporting natural gas, crude oil, and produced water through physical pipeline infrastructure — is structurally immune to AI disruption [1]. AI cannot substitute for thousands of miles of pipelines, processing plants, and water disposal facilities. The business requires massive capital investment, long-term acreage dedication agreements, and environmental permits that create insurmountable barriers to AI-driven displacement. The AI infrastructure boom is a tailwind — surging data center construction is driving incremental natural gas and electricity demand, positioning midstream operators as direct beneficiaries. WES's long-term, fee-based contracts with producers provide earnings visibility regardless of commodity prices. AI Opportunity (0/1): No evidence of WES generating revenue from AI-related products or deploying AI tools with quantified operational improvements. The company's innovation is focused on infrastructure optimization rather than AI-driven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Midstream Record Q4/FY2025 Results and 2026 Guidance — Investor Relations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Western Midstream Q1 2026 Results and Distribution Announcement — PRNewswire, May 2026</w:t>
      </w:r>
    </w:p>
    <w:p>
      <w:pPr>
        <w:spacing w:before="20" w:after="20"/>
        <w:ind w:left="170"/>
      </w:pPr>
      <w:r>
        <w:rPr>
          <w:rFonts w:ascii="Calibri" w:hAnsi="Calibri"/>
          <w:b/>
          <w:color w:val="4A6B25"/>
          <w:sz w:val="15"/>
        </w:rPr>
        <w:t xml:space="preserve">3. </w:t>
      </w:r>
      <w:r>
        <w:rPr>
          <w:rFonts w:ascii="Calibri" w:hAnsi="Calibri"/>
          <w:b w:val="0"/>
          <w:color w:val="3A4A28"/>
          <w:sz w:val="17"/>
        </w:rPr>
        <w:t>Western Midstream CEO Appointment: Oscar Brown as President and CEO — PRNewswire, October 2024</w:t>
      </w:r>
    </w:p>
    <w:p>
      <w:pPr>
        <w:spacing w:before="20" w:after="20"/>
        <w:ind w:left="170"/>
      </w:pPr>
      <w:r>
        <w:rPr>
          <w:rFonts w:ascii="Calibri" w:hAnsi="Calibri"/>
          <w:b/>
          <w:color w:val="4A6B25"/>
          <w:sz w:val="15"/>
        </w:rPr>
        <w:t xml:space="preserve">4. </w:t>
      </w:r>
      <w:r>
        <w:rPr>
          <w:rFonts w:ascii="Calibri" w:hAnsi="Calibri"/>
          <w:b w:val="0"/>
          <w:color w:val="3A4A28"/>
          <w:sz w:val="17"/>
        </w:rPr>
        <w:t>Western Midstream ESG Risk Rating and Sustainability Reporting — Sustainalytics, WES Sustainability Page,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WES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