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WIT</w:t>
      </w:r>
      <w:r>
        <w:rPr>
          <w:rFonts w:ascii="Calibri" w:hAnsi="Calibri"/>
          <w:b/>
          <w:color w:val="1A2010"/>
          <w:sz w:val="40"/>
        </w:rPr>
        <w:t xml:space="preserve">  Wipro Limited</w:t>
      </w:r>
    </w:p>
    <w:p>
      <w:pPr>
        <w:spacing w:after="120"/>
      </w:pPr>
      <w:r>
        <w:rPr>
          <w:rFonts w:ascii="Calibri" w:hAnsi="Calibri"/>
          <w:b/>
          <w:color w:val="6E8450"/>
          <w:sz w:val="18"/>
        </w:rPr>
        <w:t>DIVIDEND SLEEVE · 2026-08-21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Information Technology Services · NYSE · India</w:t>
      </w:r>
    </w:p>
    <w:p>
      <w:pPr>
        <w:spacing w:after="80"/>
      </w:pPr>
      <w:r>
        <w:rPr>
          <w:rFonts w:ascii="Calibri" w:hAnsi="Calibri"/>
          <w:b w:val="0"/>
          <w:color w:val="3A4A28"/>
          <w:sz w:val="20"/>
        </w:rPr>
        <w:t>Wipro Limited is a global IT consulting and business process services company headquartered in Bengaluru, India, operating through IT Services and IT Products segments across banking, healthcare, manufacturing, and technology sectors. Q1 FY27 (ended June 2026) delivered gross revenue of $2.59B (+10.6% YoY in INR) with IT services operating margin of 16.0%. CEO Srini Pallia leads a $1B AI transformation through Wipro ai360, with a new AI-Native Business and Platforms Unit announced in 2026. The Board approved a 150B INR share buyback. ADR trades on NYSE.</w:t>
      </w:r>
    </w:p>
    <w:p>
      <w:r>
        <w:rPr>
          <w:rFonts w:ascii="Calibri" w:hAnsi="Calibri"/>
          <w:b/>
          <w:color w:val="6E8450"/>
          <w:sz w:val="18"/>
        </w:rPr>
        <w:t>230,000 Employees · https://www.wipro.com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Wipro launched a new AI-Native Business and Platforms Unit in 2026 to complement core services and drive next-phase growth, representing a meaningful strategic pivot from labor arbitrage to consulting-led, AI-powered engagements [2]. However, this transformation is incremental — Wipro has consistently lagged TCS and Infosys in growth and deal wins, and IT services revenue grew only 1.0% YoY in USD in Q1 FY27 [1]. AI Deployment (1/2): Wipro's Lab45 R&amp;D hub has produced over 50 Agentic AI solutions that automate complex supply chain and customer service workflows. The Applied AI Center of Excellence for Claude models (Anthropic partnership) is shipping AI implementations to enterprise clients [2]. Specific AI revenue quantification is not separately disclosed. Market Share (0/2): Wipro is the fourth-largest Indian IT services firm by revenue behind TCS, Infosys, and HCL Tech, competing for large enterprise deals but lacking category leadership in any specific vertical. IT services revenue of $2,614.5M in Q1 FY27 grew only 1.0% YoY in USD [1]. Product Pipeline (1/2): AI-Native Business Unit, Wipro Intelligence platform (managing enterprise AI sprawl), and agentic AI solutions are in development, with CTO forecasting agentic AI driving autonomous enterprises by 2026-2027 [2]. General R&amp;D activity with limited revenue visibility. R&amp;D Intensity (1/1): $1B Wipro ai360 investment plus partnerships with Anthropic and the Indian Institute of Science for frontier technology research represent above-average R&amp;D commitment for IT services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Wipro's stated values emphasize 'bold thinking and smart risks, driven by big goals but never at the cost of being human,' reflecting the Premji family's values-driven heritage [2]. The 'Spirit of Wipro' framework connects the company to a purpose beyond profit, though at the operational level Wipro competes deal-by-deal on price and headcount like other IT services peers. Community Impact (2/2): The Azim Premji Foundation, endowed with over $21B from founder Azim Premji's personal wealth, is one of the largest philanthropic commitments in global history, focused exclusively on Indian education and social development [3]. This represents extraordinary, distinctive community investment that profoundly transcends corporate norms. Employee Retention (1/2): Wipro's 230,000-person workforce operates in a high-attrition IT services industry with typical 15-20% annual turnover. Glassdoor reviews describe 'collaborative, diverse culture' but the sheer scale creates trust variations. The company invests in upskilling programs and AI training [2]. Insider Buying (0/2): CEO Srinivas Pallia sold shares while receiving stock awards in 2026 — net insider selling pattern. The 150B INR share buyback is a corporate capital return, not personal insider conviction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core and dividend metrics. D/E of 27% scores 1.0, reflecting strong balance sheet with net cash position [4]. ROE of 16.13% is at the 15% target (1.0). Forward P/E of 13.32 scores 1.0, attractive for the IT services sector. Profit margin of 13.92% scores 0.70, below the 20% target but solid for IT services. Revenue growth YoY of approximately 5% scores 0.83 (blending INR gross growth of 10.6% with USD IT services growth of 1.0%) [1]. 5yr revenue CAGR of ~5.3% scores 0.69. Dividend metrics: payout ratio of ~55% scores 0.75, 20+ consecutive years paid scores 1.0 with 2x weight, but inconsistent dividend growth (3 consecutive years, 0.30) and low 5yr dividend growth CAGR (~1.0%, scoring 0.17 with 2x weight) weigh on the dividend component [4]. Q2 FY27 guidance of -1.5% to +0.5% sequential CC growth signals near-term softness. Liquidity: ADR volume easily clears the $1M floor.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Wipro demonstrates mixed qualities but ultimately plays a finite game at the operational level. The Premji family's extraordinary philanthropic legacy and long-term ownership orientation provide genuine purpose beyond profit, but the business reality is quarterly competition in a commoditized IT services market where Wipro has consistently ranked fourth among Indian IT majors. CEO Pallia's AI-first strategy is a necessary survival move that mirrors peer strategies rather than establishing differentiated positioning. The company adapts incrementally but has not transformed decisively.</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Wipro's 'Spirit of Wipro' values framework and the Premji Foundation's $21B commitment to education provide a more compelling purpose than most IT services competitors [3]. However, at the operational level, Wipro competes deal-by-deal on price and headcount, and the stated mission does not distinctively shape strategic decisions. The cause exists in the ownership structure and philanthropic legacy but doesn't permeate the business model in ways that differentiate from TCS, Infosys, or HCL Tech.</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Glassdoor reviews describe 'collaborative, diverse culture filled with brilliant minds,' and Wipro emphasizes employee empowerment and upskilling programs [2]. CEO Pallia has provided stable leadership since April 2024, and the company's values-driven heritage from the Premji family creates a stronger cultural foundation than many IT services peers. However, industry-wide 15-20% annual attrition, AI-related job anxiety among the 230,000-person workforce, and historical cultural friction from acquisitions limit organizational trust.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Wipro's competitive positioning focuses on 'winning' large deals against TCS, Infosys, and Accenture rather than learning from their strengths. The company has consistently ranked behind peers in growth and margins without demonstrating strategic learning from the competitive gap. Management commentary emphasizes deal pipeline size and bookings growth rather than self-improvement driven by rival excellence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Wipro's multi-decade transformation from a vegetable oil manufacturer (founded 1945) to a technology conglomerate to a focused IT services company represents remarkable long-horizon adaptation. The current pivot from pure labor arbitrage toward a consulting-led, AI-powered operating model, including the new AI-Native Business Unit, shows ongoing evolution [2]. However, the AI pivot is incremental adaptation shared across all IT services peers, not a transformative reinvention unique to Wipro.</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$1B Wipro ai360 investment and commitment to the AI-Native Business Unit represent meaningful capital allocation bets on AI transformation [2]. The 150B INR share buyback and Anthropic partnership show willingness to invest during industry uncertainty. However, these moves follow the industry rather than leading it — TCS and Infosys made similar AI pivots earlier. The decisions serve necessary strategic evolution rather than representing costly principled stances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Wipro offers a 3.98% dividend yield at a reasonable 13.32x forward P/E with minimal debt (D/E 27%) and a net cash balance sheet, making it one of the most accessible income plays in global IT services [4]. FY2026 marked a return to growth with 7.7% YoY IT services revenue expansion and operating margin of 17.2%. CEO Pallia's AI-first strategy — the $1B ai360 ecosystem, Anthropic partnership, Lab45's 50+ Agentic AI solutions, and the new AI-Native Business Unit — positions Wipro to capture enterprise AI transformation spending [2]. Large deal bookings of $1,626M in Q1 FY27 (+12.9% QoQ) signal improving demand. The 150B INR share buyback (~5.7% of equity) and consistent dividend demonstrate shareholder-friendly capital allocation. Wipro achieved 92% reduction in Scope 1 and 2 emissions and 94% renewable energy, earning an ESG rating of 74 [3].</w:t>
      </w:r>
    </w:p>
    <w:p>
      <w:pPr>
        <w:spacing w:after="120"/>
      </w:pPr>
      <w:r>
        <w:rPr>
          <w:rFonts w:ascii="Calibri" w:hAnsi="Calibri"/>
          <w:b w:val="0"/>
          <w:color w:val="3A4A28"/>
          <w:sz w:val="20"/>
        </w:rPr>
        <w:t>The bear case centers on existential AI disruption risk to the labor-based IT services model. AI-powered code generation, automated testing, and agentic platforms could reduce demand for 30-40% of traditional IT services tasks within 3-5 years, structurally threatening the 230,000-person workforce model that generates Wipro's revenue [1]. IT services segment revenue grew only 1.0% YoY in USD in Q1 FY27, and Q2 guidance of -1.5% to +0.5% sequential CC growth signals near-term softness despite the AI investment. The PEG ratio of 2.76 indicates the market sees limited growth ahead. Wipro has persistently underperformed TCS and Infosys in growth, margins, and deal wins — the stock's discount to peers may be structurally warranted rather than a buying opportunity. CEO Pallia sold shares while receiving stock awards, indicating net insider selling [1]. The $1.945 ADR price has declined 28.94% in the last 52 weeks, reflecting market skepticism about the AI pivot's ability to offset structural headwinds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Successful scaling of AI consulting through Anthropic partnership, Lab45, and the new AI-Native Business Unit, with AI-powered deals potentially driving 20%+ of new bookings by FY2028 [2]</w:t>
      </w:r>
    </w:p>
    <w:p>
      <w:pPr>
        <w:spacing w:before="40" w:after="40"/>
        <w:ind w:left="283"/>
      </w:pPr>
      <w:r>
        <w:rPr>
          <w:rFonts w:ascii="Calibri" w:hAnsi="Calibri"/>
          <w:b/>
          <w:color w:val="4A6B25"/>
          <w:sz w:val="20"/>
        </w:rPr>
        <w:t xml:space="preserve">2. </w:t>
      </w:r>
      <w:r>
        <w:rPr>
          <w:rFonts w:ascii="Calibri" w:hAnsi="Calibri"/>
          <w:b w:val="0"/>
          <w:color w:val="3A4A28"/>
          <w:sz w:val="20"/>
        </w:rPr>
        <w:t>Enterprise IT services spending recovery as AI adoption drives modernization demand — large deal bookings of $1,626M in Q1 FY27 (+12.9% QoQ) signal improving pipeline [1]</w:t>
      </w:r>
    </w:p>
    <w:p>
      <w:pPr>
        <w:spacing w:before="40" w:after="40"/>
        <w:ind w:left="283"/>
      </w:pPr>
      <w:r>
        <w:rPr>
          <w:rFonts w:ascii="Calibri" w:hAnsi="Calibri"/>
          <w:b/>
          <w:color w:val="4A6B25"/>
          <w:sz w:val="20"/>
        </w:rPr>
        <w:t xml:space="preserve">3. </w:t>
      </w:r>
      <w:r>
        <w:rPr>
          <w:rFonts w:ascii="Calibri" w:hAnsi="Calibri"/>
          <w:b w:val="0"/>
          <w:color w:val="3A4A28"/>
          <w:sz w:val="20"/>
        </w:rPr>
        <w:t>Margin expansion from delivery automation reducing headcount dependency while maintaining revenue per engagement, potentially lifting operating margin from 16.0% toward 18-19% in FY28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AI-driven structural disruption to the IT services labor model — generative AI and agentic platforms could reduce demand for 30-40% of traditional IT services tasks, threatening the billable-hours revenue model that supports 230,000 employees [1][2]</w:t>
      </w:r>
    </w:p>
    <w:p>
      <w:pPr>
        <w:spacing w:before="40" w:after="40"/>
        <w:ind w:left="283"/>
      </w:pPr>
      <w:r>
        <w:rPr>
          <w:rFonts w:ascii="Calibri" w:hAnsi="Calibri"/>
          <w:b/>
          <w:color w:val="4A6B25"/>
          <w:sz w:val="20"/>
        </w:rPr>
        <w:t xml:space="preserve">2. </w:t>
      </w:r>
      <w:r>
        <w:rPr>
          <w:rFonts w:ascii="Calibri" w:hAnsi="Calibri"/>
          <w:b w:val="0"/>
          <w:color w:val="3A4A28"/>
          <w:sz w:val="20"/>
        </w:rPr>
        <w:t>Near-term growth weakness with IT services at only +1.0% YoY in USD and Q2 FY27 guidance of -1.5% to +0.5% sequential CC growth, contradicting the narrative of an AI-driven services boom [1]</w:t>
      </w:r>
    </w:p>
    <w:p>
      <w:pPr>
        <w:spacing w:before="40" w:after="40"/>
        <w:ind w:left="283"/>
      </w:pPr>
      <w:r>
        <w:rPr>
          <w:rFonts w:ascii="Calibri" w:hAnsi="Calibri"/>
          <w:b/>
          <w:color w:val="4A6B25"/>
          <w:sz w:val="20"/>
        </w:rPr>
        <w:t xml:space="preserve">3. </w:t>
      </w:r>
      <w:r>
        <w:rPr>
          <w:rFonts w:ascii="Calibri" w:hAnsi="Calibri"/>
          <w:b w:val="0"/>
          <w:color w:val="3A4A28"/>
          <w:sz w:val="20"/>
        </w:rPr>
        <w:t>Persistent competitive gap versus TCS and Infosys in growth, margins, and large deal wins could widen as AI transformation spending concentrates with market leaders who invested in AI capabilities earlier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(4/9): Wipro's core business of IT services delivery — application development, maintenance, testing, and infrastructure management — faces direct substitution risk from AI-powered code generation, automated testing, and agentic AI platforms that enable enterprises to accomplish more with fewer services workers [1][2]. The 230,000-person workforce is both the asset and the liability: as AI reduces billable-hours-per-project, the labor-based revenue model faces structural compression. Wipro is actively adapting with the $1B ai360 ecosystem, Lab45's 50+ Agentic AI solutions, the new AI-Native Business Unit, and the Anthropic partnership — but the fundamental question is whether adaptation outpaces disruption. The company's FY26 operating margin of 17.2% depends on labor utilization that AI threatens to reshape. AI Opportunity (1/1): Wipro generates meaningful AI-related revenue through its consulting-led AI transformation practice, Lab45 Agentic AI solutions, Applied AI CoE with Anthropic, and enterprise AI implementation services. Large deal bookings of $1,626M in Q1 FY27 (+12.9% QoQ) increasingly include AI-centric engagements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Wipro Q1 FY27 Results — Gross Revenue INR 244.8B ($2.59B, +10.6% YoY INR), IT Services $2,614.5M (+1.0% YoY USD), Operating Margin 16.0%, Large Deal Bookings $1,626M (+12.9% QoQ), Q2 FY27 Guidance -1.5% to +0.5% CC, July 2026</w:t>
      </w:r>
    </w:p>
    <w:p>
      <w:pPr>
        <w:spacing w:before="20" w:after="20"/>
        <w:ind w:left="170"/>
      </w:pPr>
      <w:r>
        <w:rPr>
          <w:rFonts w:ascii="Calibri" w:hAnsi="Calibri"/>
          <w:b/>
          <w:color w:val="4A6B25"/>
          <w:sz w:val="15"/>
        </w:rPr>
        <w:t xml:space="preserve">2. </w:t>
      </w:r>
      <w:r>
        <w:rPr>
          <w:rFonts w:ascii="Calibri" w:hAnsi="Calibri"/>
          <w:b w:val="0"/>
          <w:color w:val="3A4A28"/>
          <w:sz w:val="17"/>
        </w:rPr>
        <w:t>Wipro AI Strategy &amp; Innovation — CEO Srini Pallia, $1B ai360 Investment, Lab45 50+ Agentic AI Solutions, AI-Native Business Unit, Anthropic Applied AI CoE, Wipro Intelligence Platform — FinancialContent, Wipro Newsroom, 2025-2026</w:t>
      </w:r>
    </w:p>
    <w:p>
      <w:pPr>
        <w:spacing w:before="20" w:after="20"/>
        <w:ind w:left="170"/>
      </w:pPr>
      <w:r>
        <w:rPr>
          <w:rFonts w:ascii="Calibri" w:hAnsi="Calibri"/>
          <w:b/>
          <w:color w:val="4A6B25"/>
          <w:sz w:val="15"/>
        </w:rPr>
        <w:t xml:space="preserve">3. </w:t>
      </w:r>
      <w:r>
        <w:rPr>
          <w:rFonts w:ascii="Calibri" w:hAnsi="Calibri"/>
          <w:b w:val="0"/>
          <w:color w:val="3A4A28"/>
          <w:sz w:val="17"/>
        </w:rPr>
        <w:t>Wipro ESG &amp; Sustainability — FY26 BRSR Report, ESG Rating 74, 92% Scope 1&amp;2 Emissions Reduction, 94% Renewable Energy, Net Zero by 2040, Premji Foundation $21B — StockTitan, Wipro Corporate, 2026</w:t>
      </w:r>
    </w:p>
    <w:p>
      <w:pPr>
        <w:spacing w:before="20" w:after="20"/>
        <w:ind w:left="170"/>
      </w:pPr>
      <w:r>
        <w:rPr>
          <w:rFonts w:ascii="Calibri" w:hAnsi="Calibri"/>
          <w:b/>
          <w:color w:val="4A6B25"/>
          <w:sz w:val="15"/>
        </w:rPr>
        <w:t xml:space="preserve">4. </w:t>
      </w:r>
      <w:r>
        <w:rPr>
          <w:rFonts w:ascii="Calibri" w:hAnsi="Calibri"/>
          <w:b w:val="0"/>
          <w:color w:val="3A4A28"/>
          <w:sz w:val="17"/>
        </w:rPr>
        <w:t>StockAnalysis, GuruFocus, Yahoo Finance — WIT Key Statistics: Forward P/E 13.32, PEG 2.76, D/E 27%, ROE 16.13%, Profit Margin 13.92%, Dividend Yield 3.98%, Stock Price $1.945,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