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WLK</w:t>
      </w:r>
      <w:r>
        <w:rPr>
          <w:rFonts w:ascii="Calibri" w:hAnsi="Calibri"/>
          <w:b/>
          <w:color w:val="1A2010"/>
          <w:sz w:val="40"/>
        </w:rPr>
        <w:t xml:space="preserve">  Westlake Corporation</w:t>
      </w:r>
    </w:p>
    <w:p>
      <w:pPr>
        <w:spacing w:after="120"/>
      </w:pPr>
      <w:r>
        <w:rPr>
          <w:rFonts w:ascii="Calibri" w:hAnsi="Calibri"/>
          <w:b/>
          <w:color w:val="6E8450"/>
          <w:sz w:val="18"/>
        </w:rPr>
        <w:t>DIVIDEND SLEEVE · 2026-08-02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Chemicals - Specialty · NYSE · United States</w:t>
      </w:r>
    </w:p>
    <w:p>
      <w:pPr>
        <w:spacing w:after="80"/>
      </w:pPr>
      <w:r>
        <w:rPr>
          <w:rFonts w:ascii="Calibri" w:hAnsi="Calibri"/>
          <w:b w:val="0"/>
          <w:color w:val="3A4A28"/>
          <w:sz w:val="20"/>
        </w:rPr>
        <w:t>Westlake Corporation is a global manufacturer and marketer of performance and essential materials, operating through two segments: Performance and Essential Materials (PEM), which produces vinyls, olefins, and polyethylene, and Housing and Infrastructure Products (HIP), which produces pipes, fittings, and building products. Founded in 1986 by the Cheng family, which retains approximately 72% voting control, the company operates manufacturing facilities across North America, Europe, and Asia with annual revenues exceeding $11 billion.</w:t>
      </w:r>
    </w:p>
    <w:p>
      <w:r>
        <w:rPr>
          <w:rFonts w:ascii="Calibri" w:hAnsi="Calibri"/>
          <w:b/>
          <w:color w:val="6E8450"/>
          <w:sz w:val="18"/>
        </w:rPr>
        <w:t>15,800 Employees · https://www.westlake.com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Westlake completed the acquisition of Boral Industries' North American building products business in 2022, expanding its Housing and Infrastructure Products segment, but the core chemicals business model has not fundamentally changed — the company makes the same vinyls, olefins, and polyethylene products as five years ago [2]. AI Deployment (0/2): Westlake is 'exploring optimizing supply chains through AI' but no AI products are shipping to customers and no quantified AI-driven cost savings have been reported [5]. Market Share (1/2): Westlake is a major player in North American PVC and chlor-alkali production, but not the category leader — Dow, LyondellBasell, and Shin-Etsu are larger competitors. No specific market share gains cited [3]. Product Pipeline (0/2): No next-generation products announced with specific timelines; R&amp;D focuses on incremental raw material cost reduction and customer sustainability support rather than new product platforms [5]. R&amp;D Intensity (0/1): R&amp;D spending not quantified as a percentage of revenue; chemicals industry typically spends 1-3% of revenue on R&amp;D, and Westlake's focus is operational rather than innovation-driven.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Westlake positions itself as 'a best-in-class company at the forefront of delivering life-enhancing products through innovation in essential materials and building products' — generic and interchangeable with any diversified chemicals peer [4]. Community Impact (0/2): Published a 2022 ESG Report establishing five new goals across water, health &amp; safety, community engagement, diversity, and circular economy, but no specific charitable dollar amounts, community programs, or foundation activities were identified [4]. Employee Retention (1/2): The company emphasizes a 'family culture of long-term value creation' and the Cheng family's multi-decade involvement suggests organizational stability, though no specific tenure or turnover data is publicly available [5]. Insider Buying (0/2): No insider buying data found; the Cheng family controls approximately 72% of voting shares through long-term holdings but no recent open-market purchases were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dividend stock formula. Westlake is in a cyclical trough with TTM revenue of $10.98B (down 8.6% YoY) and negative profitability — ROE of -17.19% and profit margin of -14.51% both score 0 [2][3]. However, the balance sheet is strong: D/E of 65.52% scores at ceiling below the 70% target. Forward P/E of 16.75 scores at ceiling, reflecting analyst expectations of profitability recovery. Critically, Westlake's 20+ year dividend track record drives the score higher: consecutive years paid (20+) and consecutive years of growth (20) both score at ceiling with 2x and 1x weighting respectively. The 5-year dividend growth CAGR of approximately 3% scores 0.50. Revenue 5-year CAGR of approximately 8% scores 0.87 [2][3]. The mechanical calculation produces a 7 despite current unprofitability because the long-term dividend consistency and balance sheet strength are weighted heavily in the formula.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Westlake operates with a finite mindset characteristic of family-controlled commodity chemicals companies. The Cheng family's 72% voting control provides long-term stability but also concentrates decision-making. The company lacks an articulated purpose beyond being a 'best-in-class' materials company, and strategic decisions are driven by financial returns on capital rather than a vision for how materials manufacturing should serve a broader purpose. The transition to first non-family CEO Jean-Marc Gilson represents governance evolution but not infinite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Westlake does not articulate a Just Cause. 'Delivering life-enhancing products through innovation in essential materials' is a generic industry description, not a resilient, inclusive, service-oriented vision of a better future that people would sacrifice to advance [4]. The company exists to generate returns on capital deployed in commodity chemicals and building products.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'family culture of long-term value creation' suggests organizational stability, and the Cheng family's multi-decade involvement provides continuity [5]. The CEO transition to Jean-Marc Gilson (first non-family CEO) was handled as a deliberate succession plan, not a disruptive change. However, family control with 72% voting shares limits employee empowerment and creates a governance structure where trust flows from family authority.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Westlake's strategic communication focuses on cost position relative to peers, capacity utilization, and margin recovery — finite competitive metrics rather than acknowledgment of competitors' strengths or self-improvement motivation.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Boral Industries acquisition expanded Westlake from a pure chemicals company into downstream building products, diversifying revenue streams and creating vertical integration [2]. This represents meaningful business model evolution, though incremental rather than transformative — the company did not abandon a core business to enter an entirely new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Westlake has maintained its dividend through 20 consecutive years of growth including the current cyclical trough where the company is operating at a loss — paying dividends from cash reserves rather than earnings demonstrates commitment to long-term shareholder relationships [2][3]. The hiring of Jean-Marc Gilson as the first non-family CEO showed governance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Westlake Corporation offers a compelling cyclical recovery thesis: the stock trades at $72.25 during a trough in chemical commodity prices with negative trailing profitability, but a Forward P/E of 16.75 implies analyst expectations of meaningful earnings recovery as chlor-alkali and PVC pricing stabilizes [2][3]. The balance sheet is strong at 65.52% D/E, and 20 consecutive years of dividend increases (including through the current loss period) demonstrate extraordinary capital return discipline. The HIP segment (building products) provides revenue diversification with $4.4-4.6B guided for 2026 at 19-21% EBITDA margins [2]. At $72.25, investors are buying a diversified materials franchise near cyclical lows with the dividend cushion of a 2.94% yield.</w:t>
      </w:r>
    </w:p>
    <w:p>
      <w:pPr>
        <w:spacing w:after="120"/>
      </w:pPr>
      <w:r>
        <w:rPr>
          <w:rFonts w:ascii="Calibri" w:hAnsi="Calibri"/>
          <w:b w:val="0"/>
          <w:color w:val="3A4A28"/>
          <w:sz w:val="20"/>
        </w:rPr>
        <w:t>The WATCH recommendation reflects Westlake's current unprofitability (ROE -17.19%, profit margin -14.51%) and declining revenue trajectory — TTM revenue down 8.6% YoY with full-year 2025 down 8.01% from 2024 [2][3]. Losses have increased over the past five years at 13.4% annually, suggesting the cyclical downturn may be deeper or more structural than prior cycles. The dividend is currently uncovered by earnings, paid from cash reserves — sustainable temporarily but not indefinitely if the cycle doesn't turn. Innovation and inspiration scores of 2 each reflect a commodity manufacturer with minimal differentiation, generic mission, and no AI strategy beyond exploratory supply chain work. The Cheng family's 72% voting control limits governance flexibility and minority shareholder influence. Chemical commodity pricing depends on global macro factors (construction demand, energy costs, trade policy) largely outside management's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Chemical commodity pricing recovery as global construction and infrastructure demand rebounds, with the potential to restore Westlake's historical profitability levels that generated $6B+ in gross profit in peak year 2022 [2]</w:t>
      </w:r>
    </w:p>
    <w:p>
      <w:pPr>
        <w:spacing w:before="40" w:after="40"/>
        <w:ind w:left="283"/>
      </w:pPr>
      <w:r>
        <w:rPr>
          <w:rFonts w:ascii="Calibri" w:hAnsi="Calibri"/>
          <w:b/>
          <w:color w:val="4A6B25"/>
          <w:sz w:val="20"/>
        </w:rPr>
        <w:t xml:space="preserve">2. </w:t>
      </w:r>
      <w:r>
        <w:rPr>
          <w:rFonts w:ascii="Calibri" w:hAnsi="Calibri"/>
          <w:b w:val="0"/>
          <w:color w:val="3A4A28"/>
          <w:sz w:val="20"/>
        </w:rPr>
        <w:t>HIP segment guided for $4.4-4.6B revenue with 19-21% EBITDA margins in 2026, providing more stable earnings through the chemicals cycle than the volatile PEM segment [2]</w:t>
      </w:r>
    </w:p>
    <w:p>
      <w:pPr>
        <w:spacing w:before="40" w:after="40"/>
        <w:ind w:left="283"/>
      </w:pPr>
      <w:r>
        <w:rPr>
          <w:rFonts w:ascii="Calibri" w:hAnsi="Calibri"/>
          <w:b/>
          <w:color w:val="4A6B25"/>
          <w:sz w:val="20"/>
        </w:rPr>
        <w:t xml:space="preserve">3. </w:t>
      </w:r>
      <w:r>
        <w:rPr>
          <w:rFonts w:ascii="Calibri" w:hAnsi="Calibri"/>
          <w:b w:val="0"/>
          <w:color w:val="3A4A28"/>
          <w:sz w:val="20"/>
        </w:rPr>
        <w:t>AI-driven data center construction boom increasing demand for PVC pipes, fittings, and building products used in facility construction and cooling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Current unprofitability may be structural rather than cyclical — losses have increased 13.4% annually over five years, and overcapacity in global PVC and polyethylene markets could suppress pricing beyond a normal cycle [2][3]</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is threatened by negative earnings — the 20-year growth streak is being funded from cash reserves, and a prolonged trough could force a dividend cut that would trigger significant selling from income-focused shareholders</w:t>
      </w:r>
    </w:p>
    <w:p>
      <w:pPr>
        <w:spacing w:before="40" w:after="40"/>
        <w:ind w:left="283"/>
      </w:pPr>
      <w:r>
        <w:rPr>
          <w:rFonts w:ascii="Calibri" w:hAnsi="Calibri"/>
          <w:b/>
          <w:color w:val="4A6B25"/>
          <w:sz w:val="20"/>
        </w:rPr>
        <w:t xml:space="preserve">3. </w:t>
      </w:r>
      <w:r>
        <w:rPr>
          <w:rFonts w:ascii="Calibri" w:hAnsi="Calibri"/>
          <w:b w:val="0"/>
          <w:color w:val="3A4A28"/>
          <w:sz w:val="20"/>
        </w:rPr>
        <w:t>Trade policy risk from dependence on ethane and propane feedstocks — escalation in tariffs or energy costs could compress margins further in an already-unprofitable operating environment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Westlake's core business — manufacturing PVC, polyethylene, caustic soda, and building products — involves physical chemical processes, raw material sourcing (ethane, propane, chlorine), heavy industrial infrastructure, and complex supply chain logistics that AI structurally cannot displace [2]. These are physical-world products requiring chemical plants, pipeline networks, and distribution infrastructure. If anything, AI data center build-outs increase demand for Westlake's PVC pipes and building products used in construction. No analysts have flagged AI as a displacement risk for commodity chemicals. AI Opportunity (0/1): No evidence of AI-derived revenue. Westlake is 'exploring' AI for supply chain optimization, but this is early-stage with no quantified impact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Westlake Corporation Q1 2026 Earnings Call Transcript — Investing.com, April 2026</w:t>
      </w:r>
    </w:p>
    <w:p>
      <w:pPr>
        <w:spacing w:before="20" w:after="20"/>
        <w:ind w:left="170"/>
      </w:pPr>
      <w:r>
        <w:rPr>
          <w:rFonts w:ascii="Calibri" w:hAnsi="Calibri"/>
          <w:b/>
          <w:color w:val="4A6B25"/>
          <w:sz w:val="15"/>
        </w:rPr>
        <w:t xml:space="preserve">2. </w:t>
      </w:r>
      <w:r>
        <w:rPr>
          <w:rFonts w:ascii="Calibri" w:hAnsi="Calibri"/>
          <w:b w:val="0"/>
          <w:color w:val="3A4A28"/>
          <w:sz w:val="17"/>
        </w:rPr>
        <w:t>Westlake Corporation Full Year 2024 Results and Revenue History — MacroTrends / Business Wire, February 2025</w:t>
      </w:r>
    </w:p>
    <w:p>
      <w:pPr>
        <w:spacing w:before="20" w:after="20"/>
        <w:ind w:left="170"/>
      </w:pPr>
      <w:r>
        <w:rPr>
          <w:rFonts w:ascii="Calibri" w:hAnsi="Calibri"/>
          <w:b/>
          <w:color w:val="4A6B25"/>
          <w:sz w:val="15"/>
        </w:rPr>
        <w:t xml:space="preserve">3. </w:t>
      </w:r>
      <w:r>
        <w:rPr>
          <w:rFonts w:ascii="Calibri" w:hAnsi="Calibri"/>
          <w:b w:val="0"/>
          <w:color w:val="3A4A28"/>
          <w:sz w:val="17"/>
        </w:rPr>
        <w:t>Stock Analysis / Yahoo Finance — WLK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Westlake 2022 Environmental, Social and Governance Report — westlake.com</w:t>
      </w:r>
    </w:p>
    <w:p>
      <w:pPr>
        <w:spacing w:before="20" w:after="20"/>
        <w:ind w:left="170"/>
      </w:pPr>
      <w:r>
        <w:rPr>
          <w:rFonts w:ascii="Calibri" w:hAnsi="Calibri"/>
          <w:b/>
          <w:color w:val="4A6B25"/>
          <w:sz w:val="15"/>
        </w:rPr>
        <w:t xml:space="preserve">5. </w:t>
      </w:r>
      <w:r>
        <w:rPr>
          <w:rFonts w:ascii="Calibri" w:hAnsi="Calibri"/>
          <w:b w:val="0"/>
          <w:color w:val="3A4A28"/>
          <w:sz w:val="17"/>
        </w:rPr>
        <w:t>Simply Wall St / AInvest — Westlake Corporation Management and Strategic Analysis,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