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w:t>
      </w:r>
      <w:r>
        <w:rPr>
          <w:rFonts w:ascii="Calibri" w:hAnsi="Calibri"/>
          <w:b/>
          <w:color w:val="1A2010"/>
          <w:sz w:val="40"/>
        </w:rPr>
        <w:t xml:space="preserve">  WM (Waste Management, Inc.)</w:t>
      </w:r>
    </w:p>
    <w:p>
      <w:pPr>
        <w:spacing w:after="120"/>
      </w:pPr>
      <w:r>
        <w:rPr>
          <w:rFonts w:ascii="Calibri" w:hAnsi="Calibri"/>
          <w:b/>
          <w:color w:val="6E8450"/>
          <w:sz w:val="18"/>
        </w:rPr>
        <w:t>GROWTH SLEEVE · 2026-09-11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(Environmental &amp; Facilities Services) · NYSE · United States</w:t>
      </w:r>
    </w:p>
    <w:p>
      <w:pPr>
        <w:spacing w:after="80"/>
      </w:pPr>
      <w:r>
        <w:rPr>
          <w:rFonts w:ascii="Calibri" w:hAnsi="Calibri"/>
          <w:b w:val="0"/>
          <w:color w:val="3A4A28"/>
          <w:sz w:val="20"/>
        </w:rPr>
        <w:t>WM is North America's leading provider of comprehensive waste and environmental services, operating collection, transfer, recycling, disposal, and renewable energy assets, and following its $7.2 billion acquisition of Stericycle now also operates a Healthcare Solutions medical waste segment [1][5]. Q2 2026 revenue reached $6.68 billion (+4.0% YoY), adjusted operating EBITDA grew 5.5% to $2.07 billion (margin +40bps to 30.9%), and free cash flow jumped 35% YoY to $1.10 billion; Healthcare Solutions EBITDA margin expanded 200bps to 19% with Stericycle cross-sell synergies at $32M of the $50M target, on track for completion by Q1 2027 [1].</w:t>
      </w:r>
    </w:p>
    <w:p>
      <w:r>
        <w:rPr>
          <w:rFonts w:ascii="Calibri" w:hAnsi="Calibri"/>
          <w:b/>
          <w:color w:val="6E8450"/>
          <w:sz w:val="18"/>
        </w:rPr>
        <w:t>60,500 Employees · https://www.wm.com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WM has executed a multi-year transformation from a landfill-dependent hauler into a diversified environmental and healthcare services company — the $7.2 billion Stericycle acquisition added a medical waste vertical now delivering 19% EBITDA margins and ahead-of-schedule cross-sell synergies ($32M of $50M target realized), alongside a build-out of renewable natural gas (RNG) plants and automated recycling infrastructure [1][5]. AI Deployment (2/2): WM is investing in automated materials recovery facilities (MRFs) that use robotics and artificial intelligence to improve sorting accuracy and reduce contamination rates, with CEO Jim Fish also piloting autonomous garbage trucks as part of a broader automation strategy [2]. Market Share (2/2): WM is the largest solid waste and environmental services company in North America by revenue and disposal network scale, a position reinforced by the Stericycle acquisition's addition of the leading medical waste franchise. Product Pipeline (2/2): Specific, dated targets are in place — full Stericycle synergy capture of $50M by Q1 2027, continued RNG plant connections to pipelines, and a 2026 adjusted EBITDA margin target of 31.0-31.2% (raised 20bps with Q2 results) [1]. R&amp;D Intensity (0/1): No data was found showing WM's R&amp;D spend as a percentage of revenue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WM's stated mission — 'to maximize resource value while minimizing impact in order to further both economic and environmental sustainability for all of our stakeholders,' backed by the brand promise 'Always Working For A Sustainable Tomorrow' — is specific and thoughtfully connects the core business to environmental stewardship, and is validated by real capital allocation into RNG, automated recycling, and the Stericycle healthcare pivot [3][1]. Community Impact (2/2): WM maintains nearly 70 Wildlife Habitat Council-certified sites across North America covering 13,500 acres, plus an active WM Charitable Giving Program supporting local nonprofits — specific, distinctive programs beyond generic corporate philanthropy [6]. Employee Retention (0/2): CEO Jim Fish's 'people-first' leadership style is well documented, but the company is simultaneously reducing headcount by 5,000 roles through automation-driven attrition, and no specific tenure or voluntary-turnover data was found to support a retention narrative [2]. Insider Buying (0/2): Insiders have been net sellers over the past year — CEO Jim Fish sold approximately $10M in shares at all-time highs, and the broader executive team (CFO, CAO, COO) sold with no reported insider purchases in the trailing 90 days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growth/prospect stock (dividend yield of 1.76% is below the 2% threshold for dividend-sleeve classification, despite 22-23 consecutive years of dividend increases). Return on Equity of 29.84% comfortably clears the 15% target (capped at 1.0), and Forward P/E of 25.17 scores 0.87 against the 20x target. Revenue growth of 4.0% YoY (Q2 2026) scores only 0.80 against the 10% target, reflecting softer solid waste volumes and delayed RNG pipeline connections that led management to trim full-year revenue guidance slightly [1]. Profit Margin of 11.12% scores 0.56 against the 20% target, and Forward PEG of 2.52 scores just 0.24 against the 1.0 target on a 2x-weighted basis. Debt-to-Equity of 235% is the largest drag, scoring only 0.28 against the 70% target, reflecting leverage taken on for the Stericycle acquisition. The stock clears the liquidity floor comfortably (~2.10M shares/day x $214.77 = ~$451.6M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WM shows genuine infinite-game characteristics in its multi-decade pivot from landfill-dependent hauler to diversified environmental and healthcare services company, backed by real capital commitments to renewable energy, automated recycling, and the Stericycle acquisition. CEO Jim Fish's people-first leadership philosophy and the attrition-based (not layoff-based) approach to automation reflect some organizational trust orientation, but heavy recent insider selling and a still-developing employee retention data picture keep this in mixed territory rather than clearly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WM's mission to 'maximize resource value while minimizing impact' and brand promise 'Always Working For A Sustainable Tomorrow' is a genuine, service-oriented cause that leadership references consistently and that has shaped real strategic decisions — RNG plant investment, automated recycling infrastructure, and the healthcare waste diversification via Stericycle — but it has not yet been tested through a defining crisis, and much of the sustainability language is now standard across the waste industry rather than singularly differentiating [3][1].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Jim Fish is described as practicing accessible, empathetic 'people-first' leadership, and the company is choosing to reduce roughly 5,000 positions through attrition and retraining rather than direct layoffs as automation expands — a deliberate choice to protect the existing workforce — but no independent tenure or turnover data was found to confirm a genuinely high-trust culture beyond leadership's own stated philosophy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WM publicly framing waste industry competitors as sources of self-improvement; available commentary focuses on WM's own operational and margin performance rather than competitive-learning language in either direction.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WM has fundamentally reinvented its business model — from a landfill-dependent waste hauler into a 'high-tech environmental leader' investing in automated, AI-powered recycling infrastructure, renewable natural gas production, and now a $7.2 billion entry into medical waste services via Stericycle — a transformative diversification into an adjacent healthcare vertical rather than incremental adjustment [1][2][5].</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$7.2 billion to acquire Stericycle and taking on Debt-to-Equity of 235% to fund a strategic diversification beyond core solid waste, alongside continued capital investment in RNG plants and automated MRFs even as full-year revenue guidance was trimmed for softer volumes, reflects a pattern of prioritizing long-term capability and diversification over near-term balance sheet conservatism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is compounding through a disciplined diversification strategy — Q2 2026 free cash flow jumped 35% YoY to $1.10 billion, adjusted operating EBITDA margin expanded to 30.9% (with 2026 guidance raised to 31.0-31.2%), and the Stericycle-derived Healthcare Solutions segment is running ahead of integration schedule with EBITDA margin up 200bps to 19% and $32M of $50M in targeted synergies already captured [1]. Return on Equity of 29.84% and a 23-year streak of consecutive dividend increases (2 years from Dividend Aristocrat status) reflect a durable, well-run capital allocator. The core waste collection and disposal business is essential infrastructure immune to AI disruption, while WM is simultaneously using AI and robotics in its own automated recycling facilities to improve margins and safety — a rare combination of defensive resilience and genuine operational innovation.</w:t>
      </w:r>
    </w:p>
    <w:p>
      <w:pPr>
        <w:spacing w:after="120"/>
      </w:pPr>
      <w:r>
        <w:rPr>
          <w:rFonts w:ascii="Calibri" w:hAnsi="Calibri"/>
          <w:b w:val="0"/>
          <w:color w:val="3A4A28"/>
          <w:sz w:val="20"/>
        </w:rPr>
        <w:t>The bear case centers on valuation and leverage: Forward P/E of 25.17 and Forward PEG of 2.52 price in more growth than the 4.0% Q2 2026 revenue increase (and a trimmed full-year 2026 revenue guide of $26.275-26.475B, down ~0.5% on softer solid waste volumes and delayed RNG pipeline connections) can clearly support [1]. Debt-to-Equity of 235%, elevated by the Stericycle acquisition, leaves less balance sheet flexibility, and heavy recent insider selling — including a $10M sale by CEO Jim Fish near all-time highs and no reported insider purchases in the trailing 90 days — is a soft sentiment signal worth monitoring even if not fundamentally decisive [4]. The planned 5,000-role reduction via automation, while handled through attrition rather than layoffs, introduces execution and labor-relations risk during a multi-year integration of Stericycle's medical waste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remaining $18M in Stericycle cross-sell synergies (of the $50M target) by Q1 2027, which would further lift Healthcare Solutions margins beyond the current 19% [1]</w:t>
      </w:r>
    </w:p>
    <w:p>
      <w:pPr>
        <w:spacing w:before="40" w:after="40"/>
        <w:ind w:left="283"/>
      </w:pPr>
      <w:r>
        <w:rPr>
          <w:rFonts w:ascii="Calibri" w:hAnsi="Calibri"/>
          <w:b/>
          <w:color w:val="4A6B25"/>
          <w:sz w:val="20"/>
        </w:rPr>
        <w:t xml:space="preserve">2. </w:t>
      </w:r>
      <w:r>
        <w:rPr>
          <w:rFonts w:ascii="Calibri" w:hAnsi="Calibri"/>
          <w:b w:val="0"/>
          <w:color w:val="3A4A28"/>
          <w:sz w:val="20"/>
        </w:rPr>
        <w:t>Continued automated MRF and robotics rollout improving recycling sorting accuracy and reducing contamination-driven cost overruns, supporting the 2026 adjusted EBITDA margin target of 31.0-31.2% [1][2]</w:t>
      </w:r>
    </w:p>
    <w:p>
      <w:pPr>
        <w:spacing w:before="40" w:after="40"/>
        <w:ind w:left="283"/>
      </w:pPr>
      <w:r>
        <w:rPr>
          <w:rFonts w:ascii="Calibri" w:hAnsi="Calibri"/>
          <w:b/>
          <w:color w:val="4A6B25"/>
          <w:sz w:val="20"/>
        </w:rPr>
        <w:t xml:space="preserve">3. </w:t>
      </w:r>
      <w:r>
        <w:rPr>
          <w:rFonts w:ascii="Calibri" w:hAnsi="Calibri"/>
          <w:b w:val="0"/>
          <w:color w:val="3A4A28"/>
          <w:sz w:val="20"/>
        </w:rPr>
        <w:t>Renewable natural gas (RNG) plant connections to pipelines resolving current delays, which management flagged as a drag on 2026 revenue guidance and represents pent-up upside once resolved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Debt-to-Equity of 235% from the $7.2B Stericycle acquisition limits balance sheet flexibility if integration costs run higher than planned or if a broader economic slowdown pressures solid waste volumes further [1][5]</w:t>
      </w:r>
    </w:p>
    <w:p>
      <w:pPr>
        <w:spacing w:before="40" w:after="40"/>
        <w:ind w:left="283"/>
      </w:pPr>
      <w:r>
        <w:rPr>
          <w:rFonts w:ascii="Calibri" w:hAnsi="Calibri"/>
          <w:b/>
          <w:color w:val="4A6B25"/>
          <w:sz w:val="20"/>
        </w:rPr>
        <w:t xml:space="preserve">2. </w:t>
      </w:r>
      <w:r>
        <w:rPr>
          <w:rFonts w:ascii="Calibri" w:hAnsi="Calibri"/>
          <w:b w:val="0"/>
          <w:color w:val="3A4A28"/>
          <w:sz w:val="20"/>
        </w:rPr>
        <w:t>Valuation (Forward P/E 25.17, Forward PEG 2.52) is not cheap relative to the current mid-single-digit revenue growth rate, leaving limited room for multiple compression if growth or margin execution disappoints</w:t>
      </w:r>
    </w:p>
    <w:p>
      <w:pPr>
        <w:spacing w:before="40" w:after="40"/>
        <w:ind w:left="283"/>
      </w:pPr>
      <w:r>
        <w:rPr>
          <w:rFonts w:ascii="Calibri" w:hAnsi="Calibri"/>
          <w:b/>
          <w:color w:val="4A6B25"/>
          <w:sz w:val="20"/>
        </w:rPr>
        <w:t xml:space="preserve">3. </w:t>
      </w:r>
      <w:r>
        <w:rPr>
          <w:rFonts w:ascii="Calibri" w:hAnsi="Calibri"/>
          <w:b w:val="0"/>
          <w:color w:val="3A4A28"/>
          <w:sz w:val="20"/>
        </w:rPr>
        <w:t>Sustained net insider selling, including a $10M CEO sale near all-time highs and no reported insider buying in the trailing 90 days, is a sentiment flag that should be monitored even though it is not independently a fundamental red flag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WM's core business — physical collection, transfer, and disposal of solid waste — is essential infrastructure that AI cannot displace; every household and business will continue to require waste removal regardless of AI adoption. AI is structurally an enabler rather than a threat here: WM is deploying AI-powered robotic sorting in its automated MRFs to improve recycling accuracy and reduce contamination, and industry data shows AI-driven sorting robots can sustain far higher throughput than manual sorting while reducing worker injury rates, directly improving WM's own economics rather than threatening its revenue base [2][7]. AI Opportunity (0/1): WM does not generate quantifiable AI-related revenue — its use of AI and robotics is an internal operating-efficiency tool for recycling and route optimization rather than a monetized AI product or service, so no tiebreaker point is awarded absent WM-specific quantified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Waste Management, Inc. Q2 2026 Earnings Call Summary and Results — Yahoo Finance/BigGo Finance,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WM CEO Jim Fish discusses labor automation and sustainability investments — Waste Dive, 2026</w:t>
      </w:r>
    </w:p>
    <w:p>
      <w:pPr>
        <w:spacing w:before="20" w:after="20"/>
        <w:ind w:left="170"/>
      </w:pPr>
      <w:r>
        <w:rPr>
          <w:rFonts w:ascii="Calibri" w:hAnsi="Calibri"/>
          <w:b/>
          <w:color w:val="4A6B25"/>
          <w:sz w:val="15"/>
        </w:rPr>
        <w:t xml:space="preserve">3. </w:t>
      </w:r>
      <w:r>
        <w:rPr>
          <w:rFonts w:ascii="Calibri" w:hAnsi="Calibri"/>
          <w:b w:val="0"/>
          <w:color w:val="3A4A28"/>
          <w:sz w:val="17"/>
        </w:rPr>
        <w:t>WM Mission, Vision &amp; Values / 'Always Working For A Sustainable Tomorrow' brand promise — wm.com, sustainability.wm.com,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Waste Management Insiders Sell US$17m Of Stock — Yahoo Finance, 2026</w:t>
      </w:r>
    </w:p>
    <w:p>
      <w:pPr>
        <w:spacing w:before="20" w:after="20"/>
        <w:ind w:left="170"/>
      </w:pPr>
      <w:r>
        <w:rPr>
          <w:rFonts w:ascii="Calibri" w:hAnsi="Calibri"/>
          <w:b/>
          <w:color w:val="4A6B25"/>
          <w:sz w:val="15"/>
        </w:rPr>
        <w:t xml:space="preserve">5. </w:t>
      </w:r>
      <w:r>
        <w:rPr>
          <w:rFonts w:ascii="Calibri" w:hAnsi="Calibri"/>
          <w:b w:val="0"/>
          <w:color w:val="3A4A28"/>
          <w:sz w:val="17"/>
        </w:rPr>
        <w:t>WM to Acquire Stericycle, a Leader in Medical Waste Services, for $7.2 Billion — investors.wm.com; WM Completes Acquisition of Stericycle, GuruFocus</w:t>
      </w:r>
    </w:p>
    <w:p>
      <w:pPr>
        <w:spacing w:before="20" w:after="20"/>
        <w:ind w:left="170"/>
      </w:pPr>
      <w:r>
        <w:rPr>
          <w:rFonts w:ascii="Calibri" w:hAnsi="Calibri"/>
          <w:b/>
          <w:color w:val="4A6B25"/>
          <w:sz w:val="15"/>
        </w:rPr>
        <w:t xml:space="preserve">6. </w:t>
      </w:r>
      <w:r>
        <w:rPr>
          <w:rFonts w:ascii="Calibri" w:hAnsi="Calibri"/>
          <w:b w:val="0"/>
          <w:color w:val="3A4A28"/>
          <w:sz w:val="17"/>
        </w:rPr>
        <w:t>WM Charitable Giving Program and Wildlife Habitat Council certified sites (nearly 70 sites, 13,500 acres) — wm.com community and sustainability pages</w:t>
      </w:r>
    </w:p>
    <w:p>
      <w:pPr>
        <w:spacing w:before="20" w:after="20"/>
        <w:ind w:left="170"/>
      </w:pPr>
      <w:r>
        <w:rPr>
          <w:rFonts w:ascii="Calibri" w:hAnsi="Calibri"/>
          <w:b/>
          <w:color w:val="4A6B25"/>
          <w:sz w:val="15"/>
        </w:rPr>
        <w:t xml:space="preserve">7. </w:t>
      </w:r>
      <w:r>
        <w:rPr>
          <w:rFonts w:ascii="Calibri" w:hAnsi="Calibri"/>
          <w:b w:val="0"/>
          <w:color w:val="3A4A28"/>
          <w:sz w:val="17"/>
        </w:rPr>
        <w:t>AI in Waste Management: Smart Solutions for Sustainable Businesses — RTS, MIT Sloan Management Review, industry robotics/automation data,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 WM Statistics &amp; Valuation page; MacroTrends — WM Number of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