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XENE</w:t>
      </w:r>
      <w:r>
        <w:rPr>
          <w:rFonts w:ascii="Calibri" w:hAnsi="Calibri"/>
          <w:b/>
          <w:color w:val="1A2010"/>
          <w:sz w:val="40"/>
        </w:rPr>
        <w:t xml:space="preserve">  Xenon Pharmaceuticals Inc.</w:t>
      </w:r>
    </w:p>
    <w:p>
      <w:pPr>
        <w:spacing w:after="120"/>
      </w:pPr>
      <w:r>
        <w:rPr>
          <w:rFonts w:ascii="Calibri" w:hAnsi="Calibri"/>
          <w:b/>
          <w:color w:val="6E8450"/>
          <w:sz w:val="18"/>
        </w:rPr>
        <w:t>GROWTH SLEEVE · 2026-08-02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Xenon Pharmaceuticals Inc. is a clinical-stage biopharmaceutical company focused on developing innovative therapeutics for neurological disorders through ion channel modulation. The company's lead candidate, azetukalner (XEN1101), is advancing through Phase 3 trials for focal-onset seizures with NDA filing planned for Q3 2026. Additional pipeline candidates include NBI-921352 and XEN496 for epilepsy, and Nav1.7 oral inhibitors for pain. Founded in 1996, headquartered in Burnaby, British Columbia, Canada, with a $6.13 billion market capitalization.</w:t>
      </w:r>
    </w:p>
    <w:p>
      <w:r>
        <w:rPr>
          <w:rFonts w:ascii="Calibri" w:hAnsi="Calibri"/>
          <w:b/>
          <w:color w:val="6E8450"/>
          <w:sz w:val="18"/>
        </w:rPr>
        <w:t>350 Employees · https://xenon-pharma.com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Xenon's Phase 3 X-TOLE2 trial for azetukalner met its primary endpoint in focal-onset seizures, representing a significant clinical milestone in a field where new mechanisms of action are rare — ion channel modulation is a differentiated approach that the company has pursued for decades [1][5]. The company anticipates approval and launch by end of 2027 or early 2028. However, no marketed products yet. AI Deployment (0/2): No evidence of AI deployment in drug discovery, clinical operations, or commercial readiness. Market Share (0/2): Pre-revenue company with no market share; positioned to enter the established epilepsy therapeutics market with a novel mechanism but has not yet launched a product. Product Pipeline (2/2): Strong pipeline with NDA filing for azetukalner planned Q3 2026, Phase 3 data supporting registration, plus NBI-921352 and XEN496 for epilepsy and Nav1.7 inhibitors for pain — multiple shots on goal with specific regulatory timelines [1]. Cash runway extended into 2029 via $747.5M capital raise. R&amp;D Intensity (1/1): R&amp;D spending is essentially 100% of operating expenses as a pre-revenue biotech, far exceeding any industry benchmark for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Xenon is 'committed to improving the lives of people living with neurological and psychiatric disorders' — a clear, service-oriented purpose that connects the company's work to patient need, but standard for neuroscience-focused biotechs and not validated through decades of execution [4]. Community Impact (0/2): No evidence of specific charitable programs, community investment, or foundation activities beyond the therapeutic mission itself. Employee Retention (1/2): Xenon emphasizes 'connection and community at the core of our culture' with tuition reimbursement and recognition programs, suggesting attention to employee development for a ~350-person company, though no specific tenure or turnover data is available [4]. Insider Buying (0/2): Heavy net insider selling in Q1 2026: 0 purchases against 17 sales with 701,707 shares disposed, including sales by multiple executives — a clear selling pattern rather than buying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formula on available metrics only. As a pre-revenue clinical-stage biotech, most financial metrics are either unavailable or reflect pre-commercialization economics. D/E of approximately 1% scores at ceiling (1.0) reflecting the essentially debt-free balance sheet with $1.33B net cash and $1.09B gross cash [2]. However, ROE is deeply negative (pre-revenue losses) scoring 0.0, and profit margin is negative scoring 0.0. Forward P/E, PEG ratio, revenue growth YoY, and revenue growth 5-year CAGR are excluded as unavailable for a pre-revenue biotech. Infrastructure score = round(1.0 / 4 * 10) = 3. The low score reflects the mathematical reality of scoring a company with no revenue or profits, not a judgment on the $1.33B cash position that funds operations through 2029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Xenon Pharmaceuticals has played a patient, focused game since its founding in 1996, spending nearly three decades developing ion channel expertise before approaching commercialization — a discipline that resonates with Sinek's long-term orientation. However, the company has not articulated a Just Cause that transcends getting its drugs approved and commercialized. The narrow focus on ion channel modulation is strategic discipline, but without a broader vision, it reads as scientific specialization rather than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'Improving the lives of people living with neurological and psychiatric disorders' is a genuine purpose that connects the company's work to human suffering, but it is standard language shared by dozens of neuroscience biotechs and lacks the specificity, resilience, and decades of validated execution that define a Just Cause in Sinek's framework [4]. The mission has not yet been tested by commercial success, leadership transition under market pressure, or strategic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Xenon's emphasis on 'connection and community' as core cultural values, combined with tuition reimbursement and recognition programs for its ~350 employees, suggests intentional culture-building [4]. The small team size allows for closer relationships. However, no specific retention data, turnover rates, or employee satisfaction metrics are publicly available to confirm above-average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Xenon has deliberately positioned itself in a 'narrower field of disorders where ion-channel modulation may create meaningful clinical differentiation' rather than competing across all of neuroscience — this self-awareness about competitive positioning, acknowledging that other companies may be stronger in adjacent areas, reflects an infinite competitive mindset of playing where you can contribute uniquely [4].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Xenon has maintained its focus on ion channel neuroscience since founding in 1996 — nearly 30 years without a major strategic pivot. This consistency could be seen as disciplined commitment, but from an Existential Flexibility perspective, the company has not demonstrated willingness to abandon its core approach in service of a broader purpose. The company is too young in its commercial lifecycle to have faced the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Xenon has spent nearly three decades investing in ion channel biology without commercial revenue, raising $747.5M in capital to fund the final push to NDA filing — a patient, long-term bet that most companies would not sustain [1]. The CEO transition from founder Simon Pimstone to Ian Mortimer was executed as a deliberate succession plan rather than a crisis-driven change.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Xenon Pharmaceuticals is at a pivotal inflection point: the Phase 3 X-TOLE2 trial for azetukalner met its primary endpoint in focal-onset seizures, and NDA filing is planned for Q3 2026 with potential approval and launch by end of 2027 or early 2028 [1]. The company commands a $6.13B market capitalization with $1.33B in net cash providing runway through 2029, eliminating near-term dilution risk. Ion channel modulation represents a differentiated mechanism of action in epilepsy where existing therapies (sodium channel blockers) leave approximately one-third of patients with uncontrolled seizures. The multi-asset pipeline (NBI-921352, XEN496, Nav1.7 pain inhibitors) provides multiple shots on goal beyond the lead program. The Inspire Insight score of 36 (ALIGNED) with no negative attributions makes XENE attractive for faith-aligned investors.</w:t>
      </w:r>
    </w:p>
    <w:p>
      <w:pPr>
        <w:spacing w:after="120"/>
      </w:pPr>
      <w:r>
        <w:rPr>
          <w:rFonts w:ascii="Calibri" w:hAnsi="Calibri"/>
          <w:b w:val="0"/>
          <w:color w:val="3A4A28"/>
          <w:sz w:val="20"/>
        </w:rPr>
        <w:t>The WATCH recommendation reflects the binary risk inherent in pre-revenue biotechs: the $6.13B market cap is priced for successful commercialization, and any regulatory setback, clinical safety signal, or competitive entry could trigger a catastrophic decline. Infrastructure scores just 3/10 mechanically because the company has no revenue, no profits, and generates only $7.5M TTM from sporadic collaboration payments [1][2]. Heavy insider selling — 17 sales with 701,707 shares disposed against zero purchases in Q1 2026 — raises concerns about management's near-term conviction [3]. The epilepsy therapeutics market is competitive with established players (UCB, Eisai, SK Life Science) and multiple companies pursuing novel mechanisms. Expected full-year 2026 EPS of -$4.33 means continued cash burn, and while the 2029 runway is reassuring, the path from NDA filing to blockbuster revenue is long and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NDA filing for azetukalner planned Q3 2026 based on positive Phase 3 X-TOLE2 data in focal-onset seizures, with potential FDA approval and commercial launch by end of 2027 or early 2028 [1]</w:t>
      </w:r>
    </w:p>
    <w:p>
      <w:pPr>
        <w:spacing w:before="40" w:after="40"/>
        <w:ind w:left="283"/>
      </w:pPr>
      <w:r>
        <w:rPr>
          <w:rFonts w:ascii="Calibri" w:hAnsi="Calibri"/>
          <w:b/>
          <w:color w:val="4A6B25"/>
          <w:sz w:val="20"/>
        </w:rPr>
        <w:t xml:space="preserve">2. </w:t>
      </w:r>
      <w:r>
        <w:rPr>
          <w:rFonts w:ascii="Calibri" w:hAnsi="Calibri"/>
          <w:b w:val="0"/>
          <w:color w:val="3A4A28"/>
          <w:sz w:val="20"/>
        </w:rPr>
        <w:t>Additional pipeline readouts from NBI-921352 and XEN496 in epilepsy subtypes, plus Nav1.7 oral inhibitors for pain, providing multiple value-creation opportunities beyond the lead program</w:t>
      </w:r>
    </w:p>
    <w:p>
      <w:pPr>
        <w:spacing w:before="40" w:after="40"/>
        <w:ind w:left="283"/>
      </w:pPr>
      <w:r>
        <w:rPr>
          <w:rFonts w:ascii="Calibri" w:hAnsi="Calibri"/>
          <w:b/>
          <w:color w:val="4A6B25"/>
          <w:sz w:val="20"/>
        </w:rPr>
        <w:t xml:space="preserve">3. </w:t>
      </w:r>
      <w:r>
        <w:rPr>
          <w:rFonts w:ascii="Calibri" w:hAnsi="Calibri"/>
          <w:b w:val="0"/>
          <w:color w:val="3A4A28"/>
          <w:sz w:val="20"/>
        </w:rPr>
        <w:t>Cash runway extended through 2029 via $747.5M capital raise, eliminating near-term dilution risk and providing firepower for potential commercial infrastructure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clinical/regulatory risk: $6.13B market cap assumes successful commercialization — any FDA Complete Response Letter, unexpected safety signal, or competitive drug approval could trigger 50%+ decline [1][2]</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(17 sales, 0 purchases, 701,707 shares disposed in Q1 2026) may signal management concerns about near-term stock performance or simply diversification, but the pattern is notable [3]</w:t>
      </w:r>
    </w:p>
    <w:p>
      <w:pPr>
        <w:spacing w:before="40" w:after="40"/>
        <w:ind w:left="283"/>
      </w:pPr>
      <w:r>
        <w:rPr>
          <w:rFonts w:ascii="Calibri" w:hAnsi="Calibri"/>
          <w:b/>
          <w:color w:val="4A6B25"/>
          <w:sz w:val="20"/>
        </w:rPr>
        <w:t xml:space="preserve">3. </w:t>
      </w:r>
      <w:r>
        <w:rPr>
          <w:rFonts w:ascii="Calibri" w:hAnsi="Calibri"/>
          <w:b w:val="0"/>
          <w:color w:val="3A4A28"/>
          <w:sz w:val="20"/>
        </w:rPr>
        <w:t>Competitive entry from larger pharma companies pursuing novel epilepsy mechanisms (including AI-accelerated drug discovery pipelines) could erode Xenon's first-mover advantage before commercial launch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Xenon's core value creation — ion channel biology expertise, clinical trial execution, FDA regulatory navigation, and eventual drug manufacturing — involves physical and regulatory processes that AI cannot substitute [1][4]. Clinical trials require real patients, real investigators, and real-world safety monitoring over years. FDA approval requires specific datasets generated through controlled studies, not AI modeling. However, AI-driven drug discovery is advancing rapidly and could enable competitors to identify competing ion channel modulators faster, partially eroding Xenon's first-mover advantage in specific indications. The risk is moderate rather than severe because Xenon's proprietary clinical data and regulatory filings provide multi-year exclusivity protection. AI Opportunity (0/1): No evidence of AI-related revenue or AI deployment in Xenon's drug discovery, clinical, or commercial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Xenon Pharmaceuticals Q1 2026 Earnings Results — Investing.com / Quartr, May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Companiesmarketcap — XENE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Kavout — Xenon Pharmaceuticals Insider Activity Analysis, Q1 2026</w:t>
      </w:r>
    </w:p>
    <w:p>
      <w:pPr>
        <w:spacing w:before="20" w:after="20"/>
        <w:ind w:left="170"/>
      </w:pPr>
      <w:r>
        <w:rPr>
          <w:rFonts w:ascii="Calibri" w:hAnsi="Calibri"/>
          <w:b/>
          <w:color w:val="4A6B25"/>
          <w:sz w:val="15"/>
        </w:rPr>
        <w:t xml:space="preserve">4. </w:t>
      </w:r>
      <w:r>
        <w:rPr>
          <w:rFonts w:ascii="Calibri" w:hAnsi="Calibri"/>
          <w:b w:val="0"/>
          <w:color w:val="3A4A28"/>
          <w:sz w:val="17"/>
        </w:rPr>
        <w:t>Xenon Pharmaceuticals Corporate Website — xenon-pharma.com,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MarketBeat — XENE Analyst Upgrade and Volume Analysis,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