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XXI</w:t>
      </w:r>
      <w:r>
        <w:rPr>
          <w:rFonts w:ascii="Calibri" w:hAnsi="Calibri"/>
          <w:b/>
          <w:color w:val="1A2010"/>
          <w:sz w:val="40"/>
        </w:rPr>
        <w:t xml:space="preserve">  Twenty One Capital, Inc.</w:t>
      </w:r>
    </w:p>
    <w:p>
      <w:pPr>
        <w:spacing w:after="120"/>
      </w:pPr>
      <w:r>
        <w:rPr>
          <w:rFonts w:ascii="Calibri" w:hAnsi="Calibri"/>
          <w:b/>
          <w:color w:val="6E8450"/>
          <w:sz w:val="18"/>
        </w:rPr>
        <w:t>GROWTH SLEEVE · 2026-07-27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Digital Asset Treasury · NYSE · United States</w:t>
      </w:r>
    </w:p>
    <w:p>
      <w:pPr>
        <w:spacing w:after="80"/>
      </w:pPr>
      <w:r>
        <w:rPr>
          <w:rFonts w:ascii="Calibri" w:hAnsi="Calibri"/>
          <w:b w:val="0"/>
          <w:color w:val="3A4A28"/>
          <w:sz w:val="20"/>
        </w:rPr>
        <w:t>Twenty One Capital, Inc. is a Bitcoin-native public company designed to accumulate and hold Bitcoin as its core strategy. Founded in March 2025 and listed on the NYSE in late 2025 with approximately $4 billion in Bitcoin contributed by Tether and SoftBank. Holds 43,514 BTC (~$2.79B as of July 2026) with $484M in debt and $118M in cash. Generates zero operating revenue. Co-founder Jack Mallers resigned as CEO in July 2026 after a strategic disagreement; Raphael Zagury named replacement. A planned three-way merger with Strike and Elektron Energy was terminated.</w:t>
      </w:r>
    </w:p>
    <w:p>
      <w:r>
        <w:rPr>
          <w:rFonts w:ascii="Calibri" w:hAnsi="Calibri"/>
          <w:b/>
          <w:color w:val="6E8450"/>
          <w:sz w:val="18"/>
        </w:rPr>
        <w:t>50 Employees · https://www.twenty-one.capital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Twenty One Capital has no product launches, no business model innovations, and no operational history beyond holding Bitcoin [1]. Founded in March 2025 and public for approximately seven months, the company is a financial holding vehicle — not an operating business. The Bitcoin treasury model was pioneered by MicroStrategy years earlier; Twenty One merely replicated it with Tether and SoftBank backing. The planned three-way merger with Strike (payments) and Elektron Energy (mining) — which would have created actual business operations — was terminated in July 2026 [3]. AI Deployment (0/2): No AI deployment of any kind. The company has no operations, no products, and no technology platform. Market Share (0/2): Twenty One holds the second-largest corporate Bitcoin treasury (43,514 BTC), but holding an asset is not market share in a competitive business [1]. The company does not compete for customers, does not sell products, and does not provide services. Product Pipeline (0/2): No products in development. The company's sole stated plan — accumulating more Bitcoin — is a capital allocation decision, not a product pipeline. The collapse of the Strike/Elektron merger eliminated the only announced path to operational revenue [3]. R&amp;D Intensity (0/1): Zero R&amp;D activity. No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Twenty One Capital's stated purpose is to build 'the Bitcoin company' and provide investors with 'differentiated exposure to Bitcoin' [1]. This is a financial product description, not a purpose that inspires beyond returns. Jack Mallers articulated a more ambitious vision — building 'Bitcoin businesses producing cash flow' alongside the treasury — but the board rejected this vision, Mallers quit, and the company reverted to a passive holding model [3]. The gap between the founder's vision and the board's preference exposes purpose confusion at the company's core. Community &amp; Charitable Impact (0/2): No evidence of charitable programs, community investment, or philanthropic activity. The company is less than 18 months old with minimal operational presence. Employee Retention (0/2): The CEO resigned after seven months over a strategic disagreement with the board [3]. For a company this young, losing the founding CEO is a severe retention signal. No Glassdoor reviews exist given the company's size and age. Executive stock grants were criticized by analysts as excessive given the lack of business achievements [2]. Insider Buying (0/2): No evidence of open-market insider purchases. Executive compensation included equity grants that were controversial, not conviction-driven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limited metrics available. D/E of 14% reflects low leverage relative to the target, but this is misleading — equity is inflated by Bitcoin holdings carried at fair value ($2.95B as of Q1 2026), which fluctuate dramatically [1]. ROE is approximately -7.6% (net loss of $260.8M on ~$3.44B equity), scoring zero and reflecting the structural challenge of a company with no operating revenue and mark-to-market Bitcoin losses. Forward P/E, profit margin, revenue growth, PEG, and revenue CAGR are all unavailable because the company generates zero revenue and has no earnings [4]. The stock trades at $4.73, down 83% from its 52-week high of $31.20, and at a substantial discount to its $9.93 book value per share. The $484.3M in debt against $117.7M cash creates negative net cash of $366.6M, meaning the company's ability to continue accumulating Bitcoin depends on capital market access [4]. The Q1 2026 net loss of $859.7M was driven almost entirely by $847.8M in Bitcoin fair value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Twenty One Capital is a textbook finite player. The company exists to accumulate a financial asset and deliver returns to shareholders — the most finite possible purpose. The founder's attempt to build something more ambitious (Bitcoin-native businesses with cash flow) was rejected by the board, and the founder quit. The company is seven months into its public life and already in leadership crisis: CEO resigned, the three-way merger collapsed, and the stock is down 83% from its high. There is no Just Cause, no trusting team, no courage, no flexibility, and no worthy rivals — just a holding company without a leader.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Twenty One Capital exists to buy Bitcoin and hold it. That is a financial strategy, not a Just Cause. Jack Mallers attempted to articulate a broader vision — building 'not only a company built with Bitcoin on its balance sheet, but also a company with Bitcoin businesses producing cash flow' — but the board explicitly rejected this vision, and Mallers resigned [3]. The remaining company has no articulated purpose beyond asset accumulation. In Sinek's framework, a company that exists to grow its balance sheet is playing the most finite game imaginable.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resigned after seven months over a fundamental strategic disagreement with the board [3]. The planned three-way merger with Strike and Elektron Energy was terminated simultaneously. Executive stock grants were criticized as excessive given zero business achievements [2]. The company has fewer than 50 employees and no operational culture to evaluate. A CEO departure in the first year of operations signals a complete absence of alignment, let alone trust, at the leadership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engagement. MicroStrategy is the obvious rival in the corporate Bitcoin treasury space, but no management commentary was found acknowledging MicroStrategy's strengths or using competitive dynamics as motivation for self-improvement. The company's competitive positioning appears purely financial — who holds more Bitcoin — which is a finite metric.</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seven months old and has already demonstrated inflexibility. When co-founder Jack Mallers proposed expanding beyond a pure Bitcoin holding model to build operational Bitcoin businesses, the board rejected the pivot [3]. The planned merger that would have added payments (Strike) and mining (Elektron) capabilities was terminated. The company chose to remain a passive Bitcoin treasury rather than evolve — the opposite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board chose the passive, conservative path (pure Bitcoin holding) over the ambitious vision (Bitcoin businesses with cash flow) proposed by the company's co-founder and CEO [3]. When the opportunity arose to build something more than a holding company, leadership retreated to the safe position. The result: the CEO quit, the merger collapsed, and the stock cratered 83% from its high. This is the opposite of courageous leadership — it is risk avoidance that destroyed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Twenty One Capital holds 43,514 Bitcoin valued at approximately $2.79B against a market capitalization of $1.64B, representing a 70% discount to Bitcoin net asset value [1]. Book value per share is $9.93 versus a stock price of $4.73, offering significant potential upside if the market reprices the shares closer to NAV. The company's D/E of 14% reflects a relatively unleveraged balance sheet (compared to MicroStrategy's far more aggressive leverage). For investors seeking leveraged Bitcoin exposure through a public equity vehicle, the NAV discount provides a built-in margin of safety — if Bitcoin appreciates, the stock could re-rate toward NAV. The $117.7M cash position provides modest operational runway [4].</w:t>
      </w:r>
    </w:p>
    <w:p>
      <w:pPr>
        <w:spacing w:after="120"/>
      </w:pPr>
      <w:r>
        <w:rPr>
          <w:rFonts w:ascii="Calibri" w:hAnsi="Calibri"/>
          <w:b w:val="0"/>
          <w:color w:val="3A4A28"/>
          <w:sz w:val="20"/>
        </w:rPr>
        <w:t>The risks overwhelm the thesis. The CEO resigned after seven months, the three-way merger with Strike and Elektron Energy collapsed, and the stock has fallen 83% from its $31.20 high to $4.73 [3][4]. The company generates zero revenue and reported a $859.7M Q1 net loss driven by Bitcoin fair value declines [1]. Executive stock grants were criticized as excessive despite no business achievements [2]. The $484.3M in debt against $117.7M cash creates negative net cash, meaning the company needs capital market access to survive long-term — difficult when the stock trades at half of book value. The NAV discount may reflect rational market skepticism about governance, strategy clarity, and the company's ability to create value beyond passive Bitcoin holding. With no operating businesses, no revenue pipeline, and a leadership vacuum, Twenty One Capital is a speculative bet on Bitcoin price appreciation with significant governance risk layered on top. An investor seeking Bitcoin exposure would achieve better risk-adjusted returns through Bitcoin ETFs without the governance, dilution, and structural discount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Trading at 52% discount to book value ($4.73 vs $9.93 BV/share) — any narrowing of the NAV discount through improved governance, capital returns, or Bitcoin price appreciation provides upside leverage [4]</w:t>
      </w:r>
    </w:p>
    <w:p>
      <w:pPr>
        <w:spacing w:before="40" w:after="40"/>
        <w:ind w:left="283"/>
      </w:pPr>
      <w:r>
        <w:rPr>
          <w:rFonts w:ascii="Calibri" w:hAnsi="Calibri"/>
          <w:b/>
          <w:color w:val="4A6B25"/>
          <w:sz w:val="20"/>
        </w:rPr>
        <w:t xml:space="preserve">2. </w:t>
      </w:r>
      <w:r>
        <w:rPr>
          <w:rFonts w:ascii="Calibri" w:hAnsi="Calibri"/>
          <w:b w:val="0"/>
          <w:color w:val="3A4A28"/>
          <w:sz w:val="20"/>
        </w:rPr>
        <w:t>New CEO Raphael Zagury could bring strategic clarity and operational discipline, potentially restarting discussions about adding revenue-generating Bitcoin businesses [3]</w:t>
      </w:r>
    </w:p>
    <w:p>
      <w:pPr>
        <w:spacing w:before="40" w:after="40"/>
        <w:ind w:left="283"/>
      </w:pPr>
      <w:r>
        <w:rPr>
          <w:rFonts w:ascii="Calibri" w:hAnsi="Calibri"/>
          <w:b/>
          <w:color w:val="4A6B25"/>
          <w:sz w:val="20"/>
        </w:rPr>
        <w:t xml:space="preserve">3. </w:t>
      </w:r>
      <w:r>
        <w:rPr>
          <w:rFonts w:ascii="Calibri" w:hAnsi="Calibri"/>
          <w:b w:val="0"/>
          <w:color w:val="3A4A28"/>
          <w:sz w:val="20"/>
        </w:rPr>
        <w:t>Bitcoin price appreciation provides direct, levered upside given the company's 43,514 BTC holdings valued at ~$2.79B against $1.64B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vacuum: founding CEO resigned after 7 months, three-way merger collapsed, and the company has no articulated forward strategy beyond passive Bitcoin accumulation — governance risk is extreme for a $1.64B public company [3]</w:t>
      </w:r>
    </w:p>
    <w:p>
      <w:pPr>
        <w:spacing w:before="40" w:after="40"/>
        <w:ind w:left="283"/>
      </w:pPr>
      <w:r>
        <w:rPr>
          <w:rFonts w:ascii="Calibri" w:hAnsi="Calibri"/>
          <w:b/>
          <w:color w:val="4A6B25"/>
          <w:sz w:val="20"/>
        </w:rPr>
        <w:t xml:space="preserve">2. </w:t>
      </w:r>
      <w:r>
        <w:rPr>
          <w:rFonts w:ascii="Calibri" w:hAnsi="Calibri"/>
          <w:b w:val="0"/>
          <w:color w:val="3A4A28"/>
          <w:sz w:val="20"/>
        </w:rPr>
        <w:t>Zero operating revenue and $859.7M Q1 net loss mean the company generates no cash to service $484.3M in debt or fund operations — survival depends on continued capital market access or Bitcoin price appreciation [1][4]</w:t>
      </w:r>
    </w:p>
    <w:p>
      <w:pPr>
        <w:spacing w:before="40" w:after="40"/>
        <w:ind w:left="283"/>
      </w:pPr>
      <w:r>
        <w:rPr>
          <w:rFonts w:ascii="Calibri" w:hAnsi="Calibri"/>
          <w:b/>
          <w:color w:val="4A6B25"/>
          <w:sz w:val="20"/>
        </w:rPr>
        <w:t xml:space="preserve">3. </w:t>
      </w:r>
      <w:r>
        <w:rPr>
          <w:rFonts w:ascii="Calibri" w:hAnsi="Calibri"/>
          <w:b w:val="0"/>
          <w:color w:val="3A4A28"/>
          <w:sz w:val="20"/>
        </w:rPr>
        <w:t>Stock down 83% from 52-week high with controversial executive compensation and opaque governance practices, raising questions about management alignment with shareholders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Twenty One Capital's sole business activity is holding Bitcoin — a decentralized financial asset stored on a cryptographic blockchain [1]. AI cannot substitute for Bitcoin ownership, cannot disrupt blockchain consensus mechanisms, and cannot replace the value proposition of a finite-supply digital asset. The company has no operational business lines for AI to displace, no services for AI to replicate, and no competitive dynamics where AI changes the playing field. Holding an asset is structurally immune to AI disruption in the same way that holding gold or real estate is immune. The company scores 8 rather than 9 because its value depends entirely on Bitcoin price appreciation, and while AI itself won't disrupt Bitcoin, the broader digital asset landscape is evolving rapidly — new financial instruments, competing store-of-value narratives, and evolving regulatory frameworks could affect demand for Bitcoin treasury vehicles. AI Opportunity (0/1): Zero AI revenue. The company has no operations, products, or services through which AI could generate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Twenty One Capital Q1 2026 10-Q Filing — SEC; Bitcoin Holdings Data via BitcoinTreasuries.net,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'Twenty One Capital: A Bitcoin Treasury Company Under Scrutiny', 2026</w:t>
      </w:r>
    </w:p>
    <w:p>
      <w:pPr>
        <w:spacing w:before="20" w:after="20"/>
        <w:ind w:left="170"/>
      </w:pPr>
      <w:r>
        <w:rPr>
          <w:rFonts w:ascii="Calibri" w:hAnsi="Calibri"/>
          <w:b/>
          <w:color w:val="4A6B25"/>
          <w:sz w:val="15"/>
        </w:rPr>
        <w:t xml:space="preserve">3. </w:t>
      </w:r>
      <w:r>
        <w:rPr>
          <w:rFonts w:ascii="Calibri" w:hAnsi="Calibri"/>
          <w:b w:val="0"/>
          <w:color w:val="3A4A28"/>
          <w:sz w:val="17"/>
        </w:rPr>
        <w:t>CoinDesk / Bitcoin Magazine — 'Jack Mallers Steps Down as XXI Capital CEO', July 21, 2026; Yahoo Finance CEO Coverage</w:t>
      </w:r>
    </w:p>
    <w:p>
      <w:pPr>
        <w:spacing w:before="20" w:after="20"/>
        <w:ind w:left="170"/>
      </w:pPr>
      <w:r>
        <w:rPr>
          <w:rFonts w:ascii="Calibri" w:hAnsi="Calibri"/>
          <w:b/>
          <w:color w:val="4A6B25"/>
          <w:sz w:val="15"/>
        </w:rPr>
        <w:t xml:space="preserve">4. </w:t>
      </w:r>
      <w:r>
        <w:rPr>
          <w:rFonts w:ascii="Calibri" w:hAnsi="Calibri"/>
          <w:b w:val="0"/>
          <w:color w:val="3A4A28"/>
          <w:sz w:val="17"/>
        </w:rPr>
        <w:t>StockAnalysis.com — XXI Key Statistics and Valuation,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