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AAPL</w:t>
      </w:r>
      <w:r>
        <w:rPr>
          <w:rFonts w:ascii="Calibri" w:hAnsi="Calibri"/>
          <w:b/>
          <w:color w:val="1A2010"/>
          <w:sz w:val="40"/>
        </w:rPr>
        <w:t xml:space="preserve">  Apple Inc.</w:t>
      </w:r>
    </w:p>
    <w:p>
      <w:pPr>
        <w:spacing w:after="120"/>
      </w:pPr>
      <w:r>
        <w:rPr>
          <w:rFonts w:ascii="Calibri" w:hAnsi="Calibri"/>
          <w:b/>
          <w:color w:val="6E8450"/>
          <w:sz w:val="18"/>
        </w:rPr>
        <w:t>GROWTH SLEEVE · 2026-08-10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Apple designs, manufactures, and markets smartphones (iPhone), personal computers (Mac), tablets (iPad), wearables (Apple Watch, AirPods), and spatial computing devices (Vision Pro), along with a growing services ecosystem including the App Store, Apple Music, iCloud, Apple TV+, and Apple Pay. The company is in a CEO transition, with Tim Cook stepping down on September 1, 2026 after 15 years, succeeded by hardware chief John Ternus. Apple reported record Q3 FY2026 revenue of $109.4B (+16% YoY) driven by strong iPhone 17 demand and Apple Intelligence adoption. Market cap exceeds $4.8 trillion.</w:t>
      </w:r>
    </w:p>
    <w:p>
      <w:r>
        <w:rPr>
          <w:rFonts w:ascii="Calibri" w:hAnsi="Calibri"/>
          <w:b/>
          <w:color w:val="6E8450"/>
          <w:sz w:val="18"/>
        </w:rPr>
        <w:t>164,000 Employees · https://www.apple.com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Apple has executed multiple successful product launches and a transformative platform pivot in the last 5 years. The Apple Silicon transition from Intel (M1 through M4 chips) fundamentally redefined the Mac lineup with industry-leading performance-per-watt, improved margins, and created vertical integration from chip design to software [1]. iPhone 17 drove 22% revenue growth to a June quarter record $54.3B. Mac revenue surged 29% to $10.4B on MacBook Neo and MacBook Pro demand. Services reached $30.7B (+12%) with paid subscriptions surpassing 1.5 billion. Vision Pro launched a new spatial computing category. AI Deployment (2/2): Apple Intelligence is shipping across iPhone, iPad, and Mac, reaching hundreds of millions of active devices — the largest AI deployment by install base in the world [2]. Features include on-device large language models, intelligent writing tools, image generation, and a rebuilt Siri now powered by Google Gemini with multi-step command support and Dynamic Island integration. AI chief John Giannandrea reports directly to the CEO, embedding AI at the highest decision-making level. Market Share (2/2): Apple holds dominant market share positions across multiple categories: ~55% U.S. smartphone market, leading tablet market share (iPad), dominant smartwatch share (Apple Watch), and the largest mobile services ecosystem globally [1]. The App Store and iOS platform create a moat that competitors have failed to replicate at scale. Product Pipeline (1/2): Apple's annual product cadence ensures a continuous pipeline (iPhone 18 expected fall 2027, next-gen Apple Silicon), and Apple Intelligence features will continue expanding. However, Apple's trademark secrecy means specific next-gen products with named launch dates and revenue visibility are not publicly disclosed beyond the current product cycle. R&amp;D Intensity (1/1): Apple's R&amp;D spending exceeds $30B annually, representing ~7% of revenue — above the consumer electronics industry average and reflecting massive investment in custom silicon, AI, and 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Apple's purpose — enriching people's lives through technology — is specific, thoughtful, and clearly differentiates from peers. The privacy stance ('Privacy is a fundamental human right') connects the company's work to a larger purpose beyond selling devices and has driven costly strategic decisions (App Tracking Transparency, on-device processing, refusing law enforcement backdoors) [2]. Tim Cook's leadership has consistently articulated and lived this purpose through environmental commitments, accessibility features, and the 'Apple Difference' positioning. However, the upcoming CEO transition to John Ternus introduces uncertainty about whether this purpose will remain the guiding strategic framework. Community Impact (1/2): Apple has significant community programs including racial equity and justice initiative commitments of $100M+, Apple Education programs reaching millions of students, and environmental goals (carbon neutral supply chain by 2030). However, the retirement of sustainability chief Lisa Jackson in January 2026 and removal of the ESG modifier from executive compensation suggest reduced institutional commitment to social impact [3]. Employee Retention (1/2): Apple is known for strong employee retention relative to tech peers, with competitive compensation and a culture of innovation. However, no specific turnover or tenure data is publicly available, and recent AI talent competition has raised concerns about departures to competitors with more aggressive AI strategies. Insider Buying (0/2): Tim Cook has been a consistent net seller of vested equity awards.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Apple demonstrates exceptional profitability with ROE of 148.75% (amplified by share buyback-reduced equity base) and profit margin of 27.62%, both well above targets [4]. Revenue growth YoY of 16% exceeds the 10% target, driven by the iPhone 17 cycle and Apple Intelligence adoption [1]. D/E of 78.0% is slightly above the 70% target but represents conservative leverage for a company generating $34.4B in quarterly operating cash flow. The primary drags are the premium valuation (Forward P/E of 33.76x, well above the 20x target), a PEG ratio of 3.10 that exceeds the 3.0 floor (scoring 0 with 2x weight), and a modest 5-year revenue CAGR of ~4% reflecting flat FY2023-2024 revenue before the current growth acceleration. The stock easily clears the liquidity floor with ~$18.7B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Apple is one of the strongest infinite game players in corporate history — a company that has repeatedly reinvented itself across computing eras (Mac, iPod, iPhone, Apple Silicon, Services) while maintaining a consistent purpose around enriching lives through technology. The 15-year Cook era preserved and evolved Jobs' vision while adding privacy, environmental responsibility, and services as strategic pillars. However, the upcoming CEO transition to John Ternus introduces the most significant leadership change in a decade, and the ESG retreat (removing sustainability comp modifiers, dissolving standalone ESG leadership) suggests finite-game pragmatism is creeping into governance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Apple's purpose — enriching people's lives through technology with a distinctive commitment to privacy, accessibility, and environmental sustainability — is genuine, partially lived, and has shaped strategic decisions for decades [2]. The privacy stance cost billions in ad revenue (App Tracking Transparency). The Apple Silicon transition was driven by the cause (better products for users) rather than just financial optimization. Environmental commitments (carbon neutral by 2030) connect the company's work to something bigger. However, the CEO transition from Cook to Ternus has not yet been tested through crisis, and the removal of ESG compensation modifiers and dissolution of standalone sustainability leadership in 2026 introduce uncertainty about whether the cause will survive this transition with the same depth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Apple maintains a stable, high-retention workforce of 164,000 employees with competitive compensation, strong internal culture, and leadership continuity (Cook since 2011, many SVPs with 10+ year tenures). However, Apple's culture of extreme secrecy and compartmentalization — where teams work on specific components without knowledge of the broader product — is at tension with Sinek's model of organizational trust [2]. Employees are trusted within their compartments but not with the full picture. The planned CEO transition has been handled with deliberate succession planning (Ternus was groomed for years), suggesting organizational maturity, but the secrecy culture limits the transparency that builds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Apple's competitive posture consistently frames competition as motivation to create better products rather than to destroy rivals. Tim Cook's decision to partner with Google (Gemini for Siri) rather than insist on inferior internal AI demonstrates willingness to learn from competitors' strengths [2]. Apple's acknowledgment that it needed to 'move more aggressively on AI' after internal assessments showed it falling behind OpenAI, Google, and Meta reflects competitive self-awareness oriented toward self-improvement. The company competes on product excellence rather than predatory pricing or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Apple is Sinek's canonical example of existential flexibility — the company has fundamentally reinvented itself multiple times, each time abandoning what was working to pursue what the cause demanded. Mac to iPod (2001), iPod to iPhone (2007), Intel to Apple Silicon (2020), hardware-first to services-and-hardware ecosystem (2019-present) [1]. Each pivot was driven by the cause of creating the best products, not by desperation. The Apple Silicon transition required abandoning a 15-year Intel partnership and rebuilding the entire computing stack — a transformative bet that redefined the Mac lineup with industry-leading performance.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Apple demonstrates a consistent pattern of costly long-term bets. The Apple Silicon transition invested billions over 3+ years to replace Intel, accepting short-term disruption for long-term capability [1]. App Tracking Transparency sacrificed billions in potential ad revenue to protect user privacy — a decision that cost Meta alone $10B in revenue and drew intense industry opposition [2]. Vision Pro represents a $10B+ investment in spatial computing with uncertain near-term returns. Tim Cook's decision to rebuild Siri on external AI (Gemini) rather than persist with inferior internal technology shows willingness to choose effectiveness over pride. The $100B+ annual share buyback program, while financially motivated, demonstrates willingness to return capital rather than empire-build.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Apple at 33.76x forward earnings is a premium compounder delivering accelerating growth — Q3 FY2026 revenue of $109.4B (+16% YoY) with iPhone up 22%, Mac up 29%, and record Services of $30.7B demonstrate the Apple Intelligence upgrade cycle is real [1]. The $34.4B quarterly operating cash flow (+23.3%) funds $100B+ annual buybacks, reducing share count and compounding EPS growth to 28.7%. ROE of 148.75% and profit margin of 27.62% reflect best-in-class capital efficiency. The Apple Silicon platform creates vertical integration advantages that deepen with each chip generation, and the 1.5B+ paid subscriptions provide recurring revenue visibility. Apple Intelligence — now powered by Gemini with rebuilt Siri — positions Apple as the default AI interface for 2B+ active devices, a distribution advantage no competitor can match.</w:t>
      </w:r>
    </w:p>
    <w:p>
      <w:pPr>
        <w:spacing w:after="120"/>
      </w:pPr>
      <w:r>
        <w:rPr>
          <w:rFonts w:ascii="Calibri" w:hAnsi="Calibri"/>
          <w:b w:val="0"/>
          <w:color w:val="3A4A28"/>
          <w:sz w:val="20"/>
        </w:rPr>
        <w:t>The bear case centers on valuation, leadership transition risk, and AI competitive positioning. Forward P/E of 33.76x and PEG of 3.10 (above the 3.0 floor) price in substantial sustained growth — any deceleration from the current 16% trajectory could trigger meaningful multiple compression, especially with September quarter guidance of only 9-11% growth due to supply constraints [1]. Tim Cook's departure on September 1, 2026 introduces succession risk for the first time since 2011 — while John Ternus is highly regarded, he inherits a company navigating the most significant technology transition (AI) since the iPhone [2]. Apple Intelligence was largely built on external AI (Google Gemini) rather than proprietary technology, creating platform dependency and raising questions about long-term AI differentiation. The 5-year revenue CAGR of only ~4% reflects flat FY2023-2024 performance that the current growth surge has not yet fully corrected on a trailing basis. The EU antitrust environment ($500M fine in 2025) and ongoing supply chain labor scrutiny create regulatory overhang [3]. The Inspire Impact Score of -93 (MISALIGNED) may limit allocation for faith-based investors despite strong ESG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iPhone 17 upgrade super-cycle driving 22% iPhone revenue growth, with Apple Intelligence features creating a compelling reason for the installed base of 1.2B+ iPhones to upgrade — only ~15-20% have upgraded so far, leaving significant remaining demand [1]</w:t>
      </w:r>
    </w:p>
    <w:p>
      <w:pPr>
        <w:spacing w:before="40" w:after="40"/>
        <w:ind w:left="283"/>
      </w:pPr>
      <w:r>
        <w:rPr>
          <w:rFonts w:ascii="Calibri" w:hAnsi="Calibri"/>
          <w:b/>
          <w:color w:val="4A6B25"/>
          <w:sz w:val="20"/>
        </w:rPr>
        <w:t xml:space="preserve">2. </w:t>
      </w:r>
      <w:r>
        <w:rPr>
          <w:rFonts w:ascii="Calibri" w:hAnsi="Calibri"/>
          <w:b w:val="0"/>
          <w:color w:val="3A4A28"/>
          <w:sz w:val="20"/>
        </w:rPr>
        <w:t>Services revenue trajectory toward $130B+ annual run rate ($30.7B quarterly record) with 1.5B+ paid subscriptions creating high-margin recurring revenue that could re-rate the stock toward a software multiple [1]</w:t>
      </w:r>
    </w:p>
    <w:p>
      <w:pPr>
        <w:spacing w:before="40" w:after="40"/>
        <w:ind w:left="283"/>
      </w:pPr>
      <w:r>
        <w:rPr>
          <w:rFonts w:ascii="Calibri" w:hAnsi="Calibri"/>
          <w:b/>
          <w:color w:val="4A6B25"/>
          <w:sz w:val="20"/>
        </w:rPr>
        <w:t xml:space="preserve">3. </w:t>
      </w:r>
      <w:r>
        <w:rPr>
          <w:rFonts w:ascii="Calibri" w:hAnsi="Calibri"/>
          <w:b w:val="0"/>
          <w:color w:val="3A4A28"/>
          <w:sz w:val="20"/>
        </w:rPr>
        <w:t>John Ternus CEO transition on September 1, 2026 could unlock a 'new era' narrative if early strategic decisions signal product innovation acceleration, particularly in AI integration and spatial computing (Vision Pro)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succession risk as John Ternus replaces Tim Cook on September 1, 2026 — the first leadership transition in 15 years during the most consequential technology shift (AI) since the iPhone, with no guarantee the institutional culture survives intact [2]</w:t>
      </w:r>
    </w:p>
    <w:p>
      <w:pPr>
        <w:spacing w:before="40" w:after="40"/>
        <w:ind w:left="283"/>
      </w:pPr>
      <w:r>
        <w:rPr>
          <w:rFonts w:ascii="Calibri" w:hAnsi="Calibri"/>
          <w:b/>
          <w:color w:val="4A6B25"/>
          <w:sz w:val="20"/>
        </w:rPr>
        <w:t xml:space="preserve">2. </w:t>
      </w:r>
      <w:r>
        <w:rPr>
          <w:rFonts w:ascii="Calibri" w:hAnsi="Calibri"/>
          <w:b w:val="0"/>
          <w:color w:val="3A4A28"/>
          <w:sz w:val="20"/>
        </w:rPr>
        <w:t>Apple Intelligence dependency on Google Gemini rather than proprietary AI creates platform risk and competitive vulnerability if Google restricts access, raises pricing, or if on-device AI from competitors proves superior [2]</w:t>
      </w:r>
    </w:p>
    <w:p>
      <w:pPr>
        <w:spacing w:before="40" w:after="40"/>
        <w:ind w:left="283"/>
      </w:pPr>
      <w:r>
        <w:rPr>
          <w:rFonts w:ascii="Calibri" w:hAnsi="Calibri"/>
          <w:b/>
          <w:color w:val="4A6B25"/>
          <w:sz w:val="20"/>
        </w:rPr>
        <w:t xml:space="preserve">3. </w:t>
      </w:r>
      <w:r>
        <w:rPr>
          <w:rFonts w:ascii="Calibri" w:hAnsi="Calibri"/>
          <w:b w:val="0"/>
          <w:color w:val="3A4A28"/>
          <w:sz w:val="20"/>
        </w:rPr>
        <w:t>September quarter guidance of only 9-11% revenue growth due to 'significant supply constraints' affecting iPhone, Mac, and iPad suggests the 16% growth rate is unsustainable near-term, and a 2.5pp FX headwind adds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Apple's core business is protected by massive hardware ecosystem switching costs — the integrated iPhone/Mac/iPad/Watch/AirPods platform with iCloud, iMessage, and the App Store creates friction that AI disruption cannot easily overcome [1]. Physical product manufacturing, proprietary chip design (Apple Silicon Neural Engine), and the iOS platform create structural moats. AI-first devices remain speculative and have not demonstrated the ability to replace smartphones at scale. However, Apple faces competitive pressure from Google, Meta, and OpenAI in AI capabilities, and analysts have flagged Apple as 'falling behind' in AI — the rebuilt Siri on Gemini is an acknowledgment that internal AI development was insufficient [2]. If AI commoditizes device experiences, Apple's premium pricing model could face pressure. AI Opportunity (1/1): Apple generates substantial AI-embedded revenue through Apple Intelligence features driving iPhone 17 upgrade cycles (22% iPhone revenue growth), the App Store AI ecosystem, and on-device AI processing enabled by Neural Engine silicon [1]. While Apple does not separately report AI revenue, the iPhone 17 demand surge and MacBook Neo popularity are directly attributable to Apple Intelligence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Apple Q3 FY2026 Earnings Release — Record Revenue $109.4B (+16%), iPhone $54.3B (+22%), Services $30.7B, EPS $2.02 (+28.7%), July 2026</w:t>
      </w:r>
    </w:p>
    <w:p>
      <w:pPr>
        <w:spacing w:before="20" w:after="20"/>
        <w:ind w:left="170"/>
      </w:pPr>
      <w:r>
        <w:rPr>
          <w:rFonts w:ascii="Calibri" w:hAnsi="Calibri"/>
          <w:b/>
          <w:color w:val="4A6B25"/>
          <w:sz w:val="15"/>
        </w:rPr>
        <w:t xml:space="preserve">2. </w:t>
      </w:r>
      <w:r>
        <w:rPr>
          <w:rFonts w:ascii="Calibri" w:hAnsi="Calibri"/>
          <w:b w:val="0"/>
          <w:color w:val="3A4A28"/>
          <w:sz w:val="17"/>
        </w:rPr>
        <w:t>Apple AI Strategy and CEO Transition — Tim Cook to John Ternus (Sept 1, 2026), Apple Intelligence on Gemini, Siri Rebuild — TechCrunch, CNBC, TheStreet, April-August 2026</w:t>
      </w:r>
    </w:p>
    <w:p>
      <w:pPr>
        <w:spacing w:before="20" w:after="20"/>
        <w:ind w:left="170"/>
      </w:pPr>
      <w:r>
        <w:rPr>
          <w:rFonts w:ascii="Calibri" w:hAnsi="Calibri"/>
          <w:b/>
          <w:color w:val="4A6B25"/>
          <w:sz w:val="15"/>
        </w:rPr>
        <w:t xml:space="preserve">3. </w:t>
      </w:r>
      <w:r>
        <w:rPr>
          <w:rFonts w:ascii="Calibri" w:hAnsi="Calibri"/>
          <w:b w:val="0"/>
          <w:color w:val="3A4A28"/>
          <w:sz w:val="17"/>
        </w:rPr>
        <w:t>Apple ESG Restructuring — Lisa Jackson Retirement, ESG Comp Modifier Removed, EU Antitrust Fine — ESG News, Corporate Governance Institute,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AAPL Key Statistics: Forward P/E 33.76x, ROE 148.75%, Profit Margin 27.62%, Stock Price $312.41,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