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ACXP</w:t>
      </w:r>
      <w:r>
        <w:rPr>
          <w:rFonts w:ascii="Calibri" w:hAnsi="Calibri"/>
          <w:b/>
          <w:color w:val="1A2010"/>
          <w:sz w:val="40"/>
        </w:rPr>
        <w:t xml:space="preserve">  Acurx Pharmaceuticals,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2026-09-03 · Inspire: 31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Acurx Pharmaceuticals is a clinical-stage biopharmaceutical company developing a new class of small molecule antibiotics for difficult-to-treat bacterial infections. Its lead candidate, ibezapolstat, is a first-in-class oral DNA polymerase IIIC inhibitor targeting Clostridioides difficile infection (CDI). Phase 2 data demonstrated a 96% cure rate with zero recurrences. The company launched a 20-patient rCDI pilot study in August 2026 and is exploring a potential one-trial registration pathway with the FDA. CEO David Luci leads the ~10-person team from its base in Staten Island, NY.</w:t>
      </w:r>
    </w:p>
    <w:p>
      <w:r>
        <w:rPr>
          <w:rFonts w:ascii="Calibri" w:hAnsi="Calibri"/>
          <w:b/>
          <w:color w:val="6E8450"/>
          <w:sz w:val="18"/>
        </w:rPr>
        <w:t>10 Employees · https://www.acurxpharma.com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Ibezapolstat is a genuinely novel mechanism — the first DNA polymerase IIIC inhibitor in clinical development — and Phase 2 data demonstrated a 96% clinical cure rate with zero recurrences in cured patients, significantly superior to vancomycin [1][2]. The compound has earned both QIDP and Fast Track designations from the FDA, validating the mechanism's clinical promise. This represents a significant clinical milestone, though no products have reached market. AI Deployment (0/2): No AI capabilities deployed. This is a traditional small-molecule drug development company. Market Share (0/2): Pre-commercial stage with no approved products or market presence. Product Pipeline (2/2): Specific and visible next steps: a 20-patient open-label rCDI pilot study launched with first enrollment around August 2026, designed to inform the pivotal Phase 3 trial design [2]. The FDA is reviewing whether ibezapolstat qualifies for a one-trial registration standard based on existing confirmatory evidence, which could accelerate the approval timeline significantly. Pipeline includes early-stage ACX-375C. R&amp;D Intensity (1/1): R&amp;D spending represents the vast majority of the company's expenditure ($1.1M in Q2 2026 alone vs. $0.5M prior year), reflecting 100% R&amp;D focus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Acurx addresses a genuine public health crisis — C. difficile causes approximately 500,000 infections and 20,000 deaths annually in the U.S., and antibiotic resistance is a WHO-designated global threat [1]. The company's mission to develop microbiome-sparing antibiotics through its Gram-Positive Selective Spectrum (GPSS) platform is specific, thoughtful, and connects drug development to a larger purpose of combating antimicrobial resistance. CEO David Luci has consistently articulated this purpose across his career in antibiotic development, including prior leadership at Dipexium Pharmaceuticals [4]. Community Impact (1/2): The company's work directly addresses underserved patient populations with life-threatening infections. Developing novel antibiotics where commercial incentives are weak represents meaningful public health contribution, though no specific charitable programs were identified. Employee Retention (1/2): CEO David Luci has led the company since its founding in 2018, providing consistent leadership through the IPO and clinical development process. However, with ~10 employees and heavy CRO reliance, organizational culture data is limited [4]. Insider Buying (0/2): No evidence of significant net insider buying identified in public filings.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approximately 119,000 shares at an estimated stock price of ~$1.48 yields daily dollar volume of approximately $176,000, which falls below the $1,000,000 minimum threshold. Infrastructure score is set to 0 per the liquidity floor rule. Underlying fundamentals reflect a pre-revenue clinical-stage biotech: no debt (D/E 0%), ROE of approximately -36%, and no meaningful revenue. Q2 2026 net loss was $2.3M ($0.53/share) versus $2.2M ($1.89/share) in Q2 2025 — reduced per-share loss reflects dilution from equity raises [3]. Cash of $10.7M at June 30, 2026, supported by a $2.5M registered direct offering and $0.8M equity line during Q2 [3]. At the current burn rate (~$2M/quarter), cash runway is approximately 5 quarters. Market cap of ~$10M is extremely small.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Acurx demonstrates meaningful infinite-game characteristics through its pursuit of a genuinely important public health mission — combating antibiotic-resistant C. difficile — and CEO Luci's willingness to invest over a decade in novel antibiotic development when commercial incentives in the space are weak. The 96% Phase 2 cure rate validates the patience of a long-term approach. However, the company's extreme concentration in a single clinical asset, micro-cap status (~$10M), and dependence on dilutive capital markets for survival introduce finite pressures that constrain strategic flexibility. A Phase 3 failure would be existential.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Combating antibiotic-resistant infections and preserving the gut microbiome represents a genuine, advance-oriented cause that connects the company's work to a larger public health purpose [1]. C. difficile kills 20,000 Americans annually, and antimicrobial resistance is a WHO-designated existential threat. The GPSS platform addresses this with a novel approach. However, the cause hasn't been tested through multi-decade consistency or leadership transitions — the company was founded in 2018 and has a single clinical asset.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With approximately 10 employees and heavy reliance on contract research organizations, Acurx operates as a virtual pharmaceutical company rather than a team-driven organization [4]. Limited public information on internal culture, employee retention, or team dynamics. The small size inherently limits the depth of trusting-team infrastructure. No evidence of exceptional cultural practices or employee empowerment.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Acurx competes against established CDI therapies including vancomycin, fidaxomicin, Merck's bezlotoxumab, and Ferring's Rebyota (live fecal microbiota). The company's differentiation strategy — microbiome-sparing oral antibiotic — demonstrates clear understanding of what existing therapies do poorly (microbiome disruption leading to recurrence) and positions ibezapolstat's mechanism as a direct response to competitors' shortcomings [1]. This reflects a competitive posture oriented toward self-improvement.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Acurx has shown some adaptability by exploring the FDA's potential one-trial registration standard to accelerate ibezapolstat's path to approval, and by launching the rCDI pilot study to expand the drug's addressable population beyond initial CDI [2]. The GPSS platform could theoretically yield additional candidates (ACX-375C is in early development). However, the company's near-total dependence on ibezapolstat's clinical success represents significant existential rigidity — a Phase 3 failure would be catastrophic.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David Luci has pursued a first-in-class antibiotic mechanism as a micro-cap company, persisting through years of clinical development when most investors and larger pharma companies have abandoned the antibiotic space due to poor commercial returns [4]. The increase in R&amp;D spending from $0.5M to $1.1M in Q2 2026 demonstrates willingness to invest in long-term clinical capability [3]. However, strategic decision-making is constrained by limited resources and capital market dependence.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Acurx Pharmaceuticals offers a high-risk, high-reward proposition centered on ibezapolstat, a first-in-class oral DNA polymerase IIIC inhibitor for C. difficile infection with Phase 2 data showing a 96% cure rate and zero recurrences — dramatically superior to the vancomycin standard of care [1][2]. The FDA Fast Track and QIDP designations (providing 5 additional years of market exclusivity) validate the mechanism's clinical promise. A potential one-trial registration pathway, if confirmed by the FDA, could significantly accelerate the timeline to approval in a $5B+ CDI market where recurrence remains the primary unmet need. The rCDI pilot study launching August 2026 expands the addressable patient population to multiply recurrent cases, the highest-value segment [2]. The Inspire Impact Score of 31 (ALIGNED) adds appeal for faith-based investors.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dominated by the realities of micro-cap biotech investing. The $10M market cap, daily liquidity of ~$176K (failing the IOWN liquidity floor), and ~5 quarters of cash runway create severe constraints [3]. The company has relied on dilutive equity raises ($2.5M direct offering + $0.8M equity line in Q2 2026 alone, with warrants for 1.65M additional shares), and further dilution is certain before any potential approval. Infrastructure scores 0 due to the liquidity floor, making position sizing extremely difficult. While the Phase 2 data is compelling, the pivotal trial is still in the pilot study phase — topline Phase 3 data is likely 2-3 years away, during which the company must raise additional capital. Single-asset concentration means a clinical failure is existential. Q2 2026 net loss of $2.3M on a $10M market cap illustrates the cash burn pressure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rCDI pilot study (20-patient, open-label) with enrollment beginning August 2026 — positive results could expand the addressable market to multiply recurrent CDI, the highest-value patient segment with the greatest unmet need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FDA meeting to determine if ibezapolstat qualifies for one-trial registration standard based on existing confirmatory evidence — a positive outcome could cut years off the development timeline and reduce capital requirements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partnership or licensing deal with a larger pharmaceutical company to fund the pivotal Phase 3 trial, validate the asset, and provide commercial infrastructure for an eventual launch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Binary Phase 3 outcome risk — a failed or inconclusive pivotal trial would be catastrophic given single-asset concentration, $10M market cap, and limited cash runway of ~5 quarters at current burn rates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Severe liquidity constraints with daily dollar volume of ~$176K (failing IOWN's $1M liquidity floor), making position entry/exit difficult and exposing holders to significant slippage and illiquidity risk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Ongoing dilution from equity offerings needed to fund operations — Q2 2026 alone included a $2.5M direct offering, $0.8M equity line, and warrants for 1.65M shares, compressing per-share value for existing holders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AI poses minimal direct threat to Acurx's core asset — ibezapolstat is a physical small-molecule antibiotic with a well-characterized mechanism of action, and AI cannot displace a pharmaceutical compound that must be physically ingested to treat C. difficile infection [1]. The regulatory pathway (Phase 3 trials, FDA approval) remains a multi-year moat regardless of AI advances in drug discovery. However, AI-driven drug discovery platforms could theoretically accelerate competitors' development of rival CDI therapies or identify alternative treatment modalities, presenting indirect competitive risk. The PROTECTED designation reflects the physical/regulatory moats but acknowledges the competitive acceleration risk from AI-enabled rival development pipelines. AI Opportunity (0/1): Acurx has no AI capabilities and generates no AI-related revenue. The company's ~10-person team and $10M market cap severely limit its ability to invest in AI for clinical trial optimization or manufacturing.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Acurx Pharmaceuticals Phase 2 Data and Clinical Program — Ibezapolstat 96% Cure Rate, Zero Recurrences, QIDP/Fast Track Designations — Acurx Newsroom, BioSpace,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Acurx rCDI Pilot Study and FDA Regulatory Pathway — 20-Patient Open-Label Study Enrolling August 2026, One-Trial Registration Standard Discussion — PR Newswire, StockStotrade, BioSpace,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Acurx Q2 FY2026 Financial Results — Net Loss $2.3M, Cash $10.7M, R&amp;D $1.1M, $2.5M Direct Offering, Warrants for 1.65M Shares — StockTitan, PR Newswire,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Acurx Leadership — CEO David Luci (Co-Founder, Former Dipexium Pharmaceuticals CEO), Management Team and Corporate Governance — Acurx IR, LinkedIn,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