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AGIO</w:t>
      </w:r>
      <w:r>
        <w:rPr>
          <w:rFonts w:ascii="Calibri" w:hAnsi="Calibri"/>
          <w:b/>
          <w:color w:val="1A2010"/>
          <w:sz w:val="40"/>
        </w:rPr>
        <w:t xml:space="preserve">  Agios Pharmaceuticals, Inc.</w:t>
      </w:r>
    </w:p>
    <w:p>
      <w:pPr>
        <w:spacing w:after="120"/>
      </w:pPr>
      <w:r>
        <w:rPr>
          <w:rFonts w:ascii="Calibri" w:hAnsi="Calibri"/>
          <w:b/>
          <w:color w:val="6E8450"/>
          <w:sz w:val="18"/>
        </w:rPr>
        <w:t>GROWTH SLEEVE · 2026-08-09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Agios Pharmaceuticals is a biopharmaceutical company focused on genetically defined diseases through the science of cellular metabolism. The company's lead product mitapivat (marketed as PYRUKYND and AQVESME) is the first and only approved pyruvate kinase activator, approved for PK deficiency and thalassemia. Agios divested its oncology business to Servier in 2021 for ~$2B to focus exclusively on rare hematologic diseases. Pipeline includes mitapivat for sickle cell disease (PDUFA November 2026), tebapivat for MDS, and AG-236 for polycythemia vera.</w:t>
      </w:r>
    </w:p>
    <w:p>
      <w:r>
        <w:rPr>
          <w:rFonts w:ascii="Calibri" w:hAnsi="Calibri"/>
          <w:b/>
          <w:color w:val="6E8450"/>
          <w:sz w:val="18"/>
        </w:rPr>
        <w:t>500 Employees · https://www.agios.com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Agios executed a transformative corporate pivot in 2021, divesting its entire oncology portfolio to Servier for ~$2B and refocusing exclusively on rare hematologic diseases — a bet that is now paying off with two successful product launches [1][2]. PYRUKYND became the first-ever approved PKR activator for PK deficiency (2022), and AQVESME launched for thalassemia in 2025-2026, driving 138% Q1 2026 revenue growth. This redefined the company from a multi-therapeutic biotech to a focused rare disease leader. AI Deployment (0/2): No evidence of AI-powered products or quantified AI-driven cost savings. Drug development uses computational biology tools but no specific AI deployment cited. Market Share (2/2): Mitapivat is the first and only approved pyruvate kinase activator globally — 100% market share in the PKR activator category for both PK deficiency and thalassemia [1]. First-in-class designation provides de facto category leadership with no direct competitor in the mechanism. 442 cumulative REMS-certified prescriptions as of Q2 2026 [1]. Product Pipeline (2/2): Exceptionally strong pipeline with specific regulatory timelines — mitapivat sNDA for sickle cell disease accepted by FDA with priority review and PDUFA date of November 1, 2026 [1]; tebapivat Phase II-B data for lower-risk MDS expected H1 2026; AG-236 advancing to Phase 2/3 for polycythemia vera; in-licensed cevidoplenib for immune thrombocytopenia [2]. R&amp;D Intensity (1/1): R&amp;D spending of $100.8M in Q2 2026 against $44.7M revenue represents R&amp;D intensity of 225% of revenue, dramatically above biopharma industry average of ~15-20%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Agios's mission to 'connect the science of cellular metabolism to transform the lives of patients with rare diseases' is specific, patient-centered, and distinctively differentiated from generic pharma missions. The company validated this mission by divesting a profitable $2B oncology business to focus exclusively on underserved rare disease patients — a strategic sacrifice that proves the mission shapes capital allocation. Leadership references the mission in earnings calls and strategic decisions. Community &amp; Charitable Impact (1/2): Agios publishes ESG reports since 2020 aligned with UN SDGs and SASB frameworks [3]. Patient-centered approach described on Glassdoor as 'unlike any other biotech/pharma company' [4]. However, specific charitable dollar amounts and distinctive community programs were not cited in available materials. Employee Retention (1/2): Glassdoor rating of 3.9/5 with employees citing 'CEO is fantastic, passion from the top down' and culture as 'inclusive and collaborative' [4]. However, some reviews note a 'highly reactive work environment with frequent shifts in priorities' typical of pre-profitability biotechs. Small team (~500 employees) limits statistical significance. Insider Buying (0/2): No meaningful net insider buying data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reflecting the pre-profitability reality of a clinical-stage biotech commercializing its first products. D/E of 3% is exceptionally strong — only $31M total debt against $1B+ cash position providing &gt;3 years of runway at current burn rate [1][5]. Revenue growth of 78%+ YoY demonstrates commercial execution with AQVESME thalassemia launch driving acceleration. However, ROE of -34.3% and net loss of $411M TTM on $98.3M TTM revenue produce deeply negative profit margins, both scoring 0.0 in the mechanical framework [5]. Forward P/E and Forward PEG are unavailable (negative earnings), reducing the metric pool. Enterprise value of $993M against $1.93B market cap reflects the $1B cash cushion.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Agios demonstrates several hallmarks of infinite play — most notably the courageous decision to divest a $2B oncology business to focus exclusively on rare diseases, sacrificing near-term scale for long-term purpose alignment. The patient-centered culture and mission-driven strategic decisions reflect genuine Just Cause thinking. However, the company is relatively young in its current form (post-2021 pivot) and has not yet been tested through extended market cycles or leadership transitions.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Agios's cause — connecting cellular metabolism science to transform lives of patients with rare diseases — is genuine and distinctively validated by the $2B oncology divestiture, which proved leadership will sacrifice profitable businesses to advance the cause [1]. The mission is patient-centered, specific to rare diseases, and shapes strategic decisions including pipeline prioritization and commercial launch sequencing. However, the company's post-pivot history (since 2021) is too short to demonstrate multi-decade consistency, and the cause hasn't yet survived a leadership transition or extended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3.9/5 with employees describing an 'inclusive and collaborative' culture where the 'CEO is fantastic' and 'passion flows from the top down' [4]. Patient engagement practices are cited as 'unlike any other biotech/pharma company.' However, reviews also note a 'highly reactive' work environment with 'frequent shifts in priorities and limited long-term strategy' that 'can create unnecessary urgency,' suggesting organizational stability challenges typical of pre-profitability biotechs.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Limited evidence of infinite competitive mindset. Agios operates in first-in-class rare disease categories with minimal direct competition for PKR activators, reducing opportunities to demonstrate worthy rival thinking. Competitive commentary focuses on clinical differentiation and regulatory moats rather than learning from competitors' strengths. The company's near-monopoly position in its mechanism category makes worthy rival assessment difficult.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2021 oncology divestiture is a textbook example of existential flexibility — Agios fundamentally reinvented itself by abandoning its original therapeutic area (oncology was the founding focus with AG-120/ivosidenib) to become a rare hematology company. This was driven by mission alignment, not desperation — the oncology business was generating revenue and had FDA-approved products. The pivot required rebuilding commercial capabilities, refocusing the R&amp;D pipeline, and accepting a dramatically smaller addressable market in service of the company's deeper purpose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divestiture of the entire oncology business to Servier for ~$2B in 2021 stands as one of the most courageous strategic decisions in recent biotech history — walking away from an established, revenue-generating therapeutic area to focus exclusively on rare hematologic diseases with smaller patient populations and higher commercial risk. This decision directly sacrificed near-term revenue and scale for long-term mission alignment. R&amp;D investment of $100.8M/quarter despite ongoing losses further demonstrates willingness to prioritize long-term capability over short-term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Agios is executing a textbook rare disease commercialization playbook with accelerating momentum — Q2 2026 mitapivat revenue of $44.7M ($40.9M US, $3.8M international) brought H1 2026 revenue to $65.5M, already exceeding full-year 2025 revenue of $54M [1]. The transformative catalyst is the November 1, 2026 PDUFA date for mitapivat in sickle cell disease, which affects ~100,000 patients in the US vs. ~3,000-8,000 for PK deficiency — a potential 10x+ addressable market expansion [1][2]. With $1B+ cash, only $31M debt, and a pipeline spanning tebapivat (MDS, sickle cell), AG-236 (polycythemia vera), and cevidoplenib (ITP), Agios has a rare combination of clinical validation, financial fortress, and optionality. Analyst consensus target of $45.75 implies 42% upside.</w:t>
      </w:r>
    </w:p>
    <w:p>
      <w:pPr>
        <w:spacing w:after="120"/>
      </w:pPr>
      <w:r>
        <w:rPr>
          <w:rFonts w:ascii="Calibri" w:hAnsi="Calibri"/>
          <w:b w:val="0"/>
          <w:color w:val="3A4A28"/>
          <w:sz w:val="20"/>
        </w:rPr>
        <w:t>The bear case centers on binary regulatory risk and pre-profitability economics. Net loss of $411M TTM on $98.3M revenue reflects a company still years from profitability even with accelerating commercial traction [5]. R&amp;D spending of $100.8M/quarter and SG&amp;A of $61.5M/quarter mean Agios burns ~$90M+ per quarter in cash, giving roughly 3 years of runway at current rates — enough to reach profitability only if sickle cell disease approval and launch succeed. If the November 2026 PDUFA results in a Complete Response Letter, the stock would face severe downside as the SCD market opportunity represents the majority of the bull case valuation. US PK deficiency revenue guidance of $45-50M for full-year 2026 suggests the base business alone cannot justify a $1.93B market cap [1]. Anticipated patient discontinuation risk as early thalassemia cohorts reach six-month evaluation in H2 2026 adds near-term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November 1, 2026 PDUFA date for mitapivat in sickle cell disease — priority review designation for a ~100,000 US patient population could 10x+ the addressable market and fundamentally re-rate the stock</w:t>
      </w:r>
    </w:p>
    <w:p>
      <w:pPr>
        <w:spacing w:before="40" w:after="40"/>
        <w:ind w:left="283"/>
      </w:pPr>
      <w:r>
        <w:rPr>
          <w:rFonts w:ascii="Calibri" w:hAnsi="Calibri"/>
          <w:b/>
          <w:color w:val="4A6B25"/>
          <w:sz w:val="20"/>
        </w:rPr>
        <w:t xml:space="preserve">2. </w:t>
      </w:r>
      <w:r>
        <w:rPr>
          <w:rFonts w:ascii="Calibri" w:hAnsi="Calibri"/>
          <w:b w:val="0"/>
          <w:color w:val="3A4A28"/>
          <w:sz w:val="20"/>
        </w:rPr>
        <w:t>Tebapivat Phase II-B data for lower-risk MDS and Phase II data for sickle cell disease expected in 2026, providing next-generation pipeline de-risking and extended commercial lifecycle beyond mitapivat</w:t>
      </w:r>
    </w:p>
    <w:p>
      <w:pPr>
        <w:spacing w:before="40" w:after="40"/>
        <w:ind w:left="283"/>
      </w:pPr>
      <w:r>
        <w:rPr>
          <w:rFonts w:ascii="Calibri" w:hAnsi="Calibri"/>
          <w:b/>
          <w:color w:val="4A6B25"/>
          <w:sz w:val="20"/>
        </w:rPr>
        <w:t xml:space="preserve">3. </w:t>
      </w:r>
      <w:r>
        <w:rPr>
          <w:rFonts w:ascii="Calibri" w:hAnsi="Calibri"/>
          <w:b w:val="0"/>
          <w:color w:val="3A4A28"/>
          <w:sz w:val="20"/>
        </w:rPr>
        <w:t>AQVESME thalassemia launch acceleration with 200 new prescriptions in Q2 2026 alone (442 cumulative), transitioning to revenue-based reporting after Q3 2026 as the commercial ramp matures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regulatory risk on the November 2026 sickle cell disease PDUFA — a Complete Response Letter would eliminate the largest portion of the bull case and potentially halve the stock given SCD represents the majority of the addressable market expansion</w:t>
      </w:r>
    </w:p>
    <w:p>
      <w:pPr>
        <w:spacing w:before="40" w:after="40"/>
        <w:ind w:left="283"/>
      </w:pPr>
      <w:r>
        <w:rPr>
          <w:rFonts w:ascii="Calibri" w:hAnsi="Calibri"/>
          <w:b/>
          <w:color w:val="4A6B25"/>
          <w:sz w:val="20"/>
        </w:rPr>
        <w:t xml:space="preserve">2. </w:t>
      </w:r>
      <w:r>
        <w:rPr>
          <w:rFonts w:ascii="Calibri" w:hAnsi="Calibri"/>
          <w:b w:val="0"/>
          <w:color w:val="3A4A28"/>
          <w:sz w:val="20"/>
        </w:rPr>
        <w:t>Quarterly cash burn of ~$90M+ limits runway to ~3 years, creating dilution or financing risk if the sickle cell launch underperforms or pipeline setbacks extend the path to profitability</w:t>
      </w:r>
    </w:p>
    <w:p>
      <w:pPr>
        <w:spacing w:before="40" w:after="40"/>
        <w:ind w:left="283"/>
      </w:pPr>
      <w:r>
        <w:rPr>
          <w:rFonts w:ascii="Calibri" w:hAnsi="Calibri"/>
          <w:b/>
          <w:color w:val="4A6B25"/>
          <w:sz w:val="20"/>
        </w:rPr>
        <w:t xml:space="preserve">3. </w:t>
      </w:r>
      <w:r>
        <w:rPr>
          <w:rFonts w:ascii="Calibri" w:hAnsi="Calibri"/>
          <w:b w:val="0"/>
          <w:color w:val="3A4A28"/>
          <w:sz w:val="20"/>
        </w:rPr>
        <w:t>Early thalassemia patient cohorts reaching six-month evaluation in H2 2026 could reveal discontinuation rates that undermine AQVESME's long-term revenue trajectory and net revenue retention assumptions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Agios's core business is structurally immune to AI disruption. Drug development requires physical clinical trials with real patients, FDA regulatory approval processes, REMS-certified distribution programs, and GMP pharmaceutical manufacturing — none of which AI can substitute [1]. Rare disease focus adds further protection: orphan drug designations, REMS certification requirements, and small patient populations (PK deficiency affects ~3,000-8,000 patients in the US) create regulatory and commercial moats that AI cannot replicate. The company's first-in-class pyruvate kinase activator mechanism was validated through years of clinical trial data, not computational shortcuts. AI may accelerate early-stage drug discovery but cannot replace the 10+ year regulatory pathway Agios has navigated. AI Opportunity (0/1): No quantifiable AI-related revenue. While computational biology tools may support Agios's drug discovery pipeline, the company does not generate revenue from AI products or report specific AI-driven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Agios Pharmaceuticals Q2 2026 Earnings Call Highlights — Yahoo Finance, GuruFocus, August 2026</w:t>
      </w:r>
    </w:p>
    <w:p>
      <w:pPr>
        <w:spacing w:before="20" w:after="20"/>
        <w:ind w:left="170"/>
      </w:pPr>
      <w:r>
        <w:rPr>
          <w:rFonts w:ascii="Calibri" w:hAnsi="Calibri"/>
          <w:b/>
          <w:color w:val="4A6B25"/>
          <w:sz w:val="15"/>
        </w:rPr>
        <w:t xml:space="preserve">2. </w:t>
      </w:r>
      <w:r>
        <w:rPr>
          <w:rFonts w:ascii="Calibri" w:hAnsi="Calibri"/>
          <w:b w:val="0"/>
          <w:color w:val="3A4A28"/>
          <w:sz w:val="17"/>
        </w:rPr>
        <w:t>Agios Pharmaceuticals Q1 2026 Earnings Call Transcript — Investing.com, May 2026</w:t>
      </w:r>
    </w:p>
    <w:p>
      <w:pPr>
        <w:spacing w:before="20" w:after="20"/>
        <w:ind w:left="170"/>
      </w:pPr>
      <w:r>
        <w:rPr>
          <w:rFonts w:ascii="Calibri" w:hAnsi="Calibri"/>
          <w:b/>
          <w:color w:val="4A6B25"/>
          <w:sz w:val="15"/>
        </w:rPr>
        <w:t xml:space="preserve">3. </w:t>
      </w:r>
      <w:r>
        <w:rPr>
          <w:rFonts w:ascii="Calibri" w:hAnsi="Calibri"/>
          <w:b w:val="0"/>
          <w:color w:val="3A4A28"/>
          <w:sz w:val="17"/>
        </w:rPr>
        <w:t>Agios Pharmaceuticals ESG Reports and Sustainability Disclosures — agios.com, investor.agios.com, 2020-2023</w:t>
      </w:r>
    </w:p>
    <w:p>
      <w:pPr>
        <w:spacing w:before="20" w:after="20"/>
        <w:ind w:left="170"/>
      </w:pPr>
      <w:r>
        <w:rPr>
          <w:rFonts w:ascii="Calibri" w:hAnsi="Calibri"/>
          <w:b/>
          <w:color w:val="4A6B25"/>
          <w:sz w:val="15"/>
        </w:rPr>
        <w:t xml:space="preserve">4. </w:t>
      </w:r>
      <w:r>
        <w:rPr>
          <w:rFonts w:ascii="Calibri" w:hAnsi="Calibri"/>
          <w:b w:val="0"/>
          <w:color w:val="3A4A28"/>
          <w:sz w:val="17"/>
        </w:rPr>
        <w:t>Agios Pharmaceuticals Employee Reviews — Glassdoor, Comparably,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Agios Pharmaceuticals (AGIO) Key Statistics — StockAnalysis.com,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