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AMCI</w:t>
      </w:r>
      <w:r>
        <w:rPr>
          <w:rFonts w:ascii="Calibri" w:hAnsi="Calibri"/>
          <w:b/>
          <w:color w:val="1A2010"/>
          <w:sz w:val="40"/>
        </w:rPr>
        <w:t xml:space="preserve">  AMC Robotics Corporation</w:t>
      </w:r>
    </w:p>
    <w:p>
      <w:pPr>
        <w:spacing w:after="120"/>
      </w:pPr>
      <w:r>
        <w:rPr>
          <w:rFonts w:ascii="Calibri" w:hAnsi="Calibri"/>
          <w:b/>
          <w:color w:val="6E8450"/>
          <w:sz w:val="18"/>
        </w:rPr>
        <w:t>GROWTH SLEEVE · 2026-08-09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Robotics &amp; Automation · NASDAQ · United States</w:t>
      </w:r>
    </w:p>
    <w:p>
      <w:pPr>
        <w:spacing w:after="80"/>
      </w:pPr>
      <w:r>
        <w:rPr>
          <w:rFonts w:ascii="Calibri" w:hAnsi="Calibri"/>
          <w:b w:val="0"/>
          <w:color w:val="3A4A28"/>
          <w:sz w:val="20"/>
        </w:rPr>
        <w:t>AMC Robotics Corporation (formerly AMCI Acquisition Corp) manufactures and sells autonomous robots and AI-driven security and safety technology solutions. Products include the Kyro quadruped robotic platform for inspection, security, and patrol; NovaArm robotic material handling systems; and logistics automation. The company originated from the YI smart security camera portfolio and went public via SPAC merger with AlphaVest Acquisition Corp. Established manufacturing subsidiary in Vietnam for Kyro production.</w:t>
      </w:r>
    </w:p>
    <w:p>
      <w:r>
        <w:rPr>
          <w:rFonts w:ascii="Calibri" w:hAnsi="Calibri"/>
          <w:b/>
          <w:color w:val="6E8450"/>
          <w:sz w:val="18"/>
        </w:rPr>
        <w:t>50 Employees · https://www.amcx.ai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AMC Robotics has attempted a pivot from YI smart security cameras to autonomous robots (Kyro quadruped, NovaArm), showcasing Kyro at CES 2026 and establishing Vietnam manufacturing [1][2]. However, the pivot has not generated meaningful new revenue — legacy revenue declined 41% YoY to $5.98M in FY2025 and 36% YoY in FY2024, suggesting the camera business is evaporating faster than robotics revenue is materializing. AI Deployment (1/2): Kyro features AI-powered perception for autonomous inspection and security tasks, and NovaArm targets commercial launch in Q2 2026 [2]. Products exist in prototype/early commercial stage but no quantified customer deployments, revenue contribution, or cost savings were reported. AI Opportunity (0/2): Micro-cap participant in a crowded autonomous robotics market dominated by Boston Dynamics (Hyundai), Unitree, Ghost Robotics, and well-funded startups. $5.37M TTM revenue against a $110M market cap with no evidence of competitive differentiation or market share gains [3]. Product Pipeline (1/2): NovaArm targeted for Q2 2026 commercial launch; Kyro manufacturing scaling through Vietnam subsidiary. General timelines exist but no revenue forecasts or customer commitments cited. R&amp;D Intensity (0/1): No specific R&amp;D spending data disclosed; the company's limited financial resources ($6.6M cash) constrain R&amp;D investment relative to robotics peers investing hundreds of millions annually.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No distinctive mission or purpose statement found in public materials. The company describes its products and markets but does not articulate why it exists beyond commercial robotics opportunities. Generic technology company positioning interchangeable with hundreds of automation startups. Community &amp; Charitable Impact (0/2): No evidence of charitable programs, community investment, or corporate social responsibility initiatives. The company's small scale and pre-profitability status leave no resources for philanthropic activity. Employee Retention (0/2): No Glassdoor reviews, employee tenure data, or cultural indicators available for AMC Robotics specifically. Company is too small and too recently formed (post-SPAC) to assess organizational culture meaningfully. Insider Buying (0/2): No insider buying data identified. Founder/CEO Shengwei Da leads the company but specific insider transaction data was not found in available sources.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178,598 shares at $4.87 per share yields daily dollar volume of $869,752, below the $1,000,000 IOWN liquidity threshold [3]. Infrastructure score is automatically set to 0 regardless of other metrics. For reference, the underlying financial picture is also weak: revenue declined 41% YoY to $5.98M in FY2025 [2], GAAP net loss of $24.8M (driven by non-cash warrant liability fair value changes; adjusted net income was $0.7M), ROE of -609% reflects a tiny equity base distorted by GAAP losses, and total cash of $6.6M provides limited runway. The $8M PIPE financing provides short-term liquidity but does not address the structural revenue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AMC Robotics shows no evidence of infinite game thinking. The company lacks an articulated Just Cause, has undergone a SPAC formation without building organizational trust, and its strategic pivots appear driven by market opportunity chasing rather than purpose alignment. The declining legacy camera revenue and pre-commercial robotics stage suggest a company fighting for survival rather than playing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evidence of a Just Cause. AMC Robotics does not articulate a vision of a better future that would inspire sacrifice. The company pivoted from security cameras to autonomous robots, but this appears driven by market trends and SPAC deal dynamics rather than a foundational purpose. There is no mission statement that connects the company's work to something larger than commercial opportunity.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Insufficient data to assess organizational trust. The company is too small and too recently formed via SPAC merger to have established meaningful organizational culture indicators. No Glassdoor reviews, employee surveys, or cultural commentary were found specifically for AMC Robotics. The rapid formation via SPAC and subsequent strategic pivots suggest an organization still finding its identity.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No management commentary referencing learning from competitors like Boston Dynamics, Unitree, or Ghost Robotics. The company's competitive language and positioning focus on product features rather than self-improvement through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AMC Robotics has evolved from YI smart security cameras to autonomous quadruped robots and robotic material handling — an adjacent market expansion that leverages some existing technology (AI vision, embedded systems) in new form factors [1][2]. The Vietnam manufacturing subsidiary and CES 2026 showcase demonstrate commitment to the pivot. However, the transformation is incremental rather than transformative, and declining legacy revenue (-41% YoY) raises questions about whether the pivot will generate replacement revenue before the legacy business fully erodes.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company's leadership appears to optimize for capital market dynamics rather than long-term capability building. The SPAC formation, PIPE financing, and Vietnam manufacturing setup are standard corporate transactions, not courageous strategic bets. With $6.6M cash and declining revenue, there is no evidence of leadership sacrificing near-term results for long-term investment — resources are too constrained for that choice to exist.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AMC Robotics is a micro-cap ($110M market cap) autonomous robotics company in early commercial stage, transitioning from declining YI security camera revenue to AI-powered quadruped robots (Kyro) and robotic material handling (NovaArm). FY2025 adjusted net income of $0.7M and adjusted EBITDA of $0.8M demonstrate the core business can generate margin when non-cash warrant charges are excluded [2]. The Kyro platform showcased at CES 2026 and NovaArm targeted for Q2 2026 commercial launch represent the growth runway, while the Vietnam manufacturing subsidiary provides cost-efficient scale production capability. The AI robotics market is projected to grow rapidly, and AMC's $4.87 stock price reflects maximum pessimism.</w:t>
      </w:r>
    </w:p>
    <w:p>
      <w:pPr>
        <w:spacing w:after="120"/>
      </w:pPr>
      <w:r>
        <w:rPr>
          <w:rFonts w:ascii="Calibri" w:hAnsi="Calibri"/>
          <w:b w:val="0"/>
          <w:color w:val="3A4A28"/>
          <w:sz w:val="20"/>
        </w:rPr>
        <w:t>The bear case is severe: revenue has declined from $17.89M (FY2022) to $5.98M (FY2025), a 67% cumulative decline over three years, as the legacy camera business collapses faster than robotics revenue materializes [2][3]. GAAP net loss of $24.8M in FY2025 (adjusted for non-cash items to +$0.7M) and only $6.6M cash provide minimal runway — the $8M PIPE financing buys months, not years. The stock fails IOWN's liquidity floor ($870K average daily dollar volume vs. $1M minimum), making position sizing impractical for any institutional portfolio. The company competes in autonomous robotics against Boston Dynamics (backed by Hyundai's $90B+ resources), Unitree, Ghost Robotics, and dozens of well-funded startups — with $6M annual revenue against competitors spending hundreds of millions on R&amp;D. The risk-reward is unfavorable given the capital constraints and competitive intensity.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NovaArm commercial launch targeted Q2 2026 could provide the first meaningful new product revenue and validate the pivot from cameras to robotics</w:t>
      </w:r>
    </w:p>
    <w:p>
      <w:pPr>
        <w:spacing w:before="40" w:after="40"/>
        <w:ind w:left="283"/>
      </w:pPr>
      <w:r>
        <w:rPr>
          <w:rFonts w:ascii="Calibri" w:hAnsi="Calibri"/>
          <w:b/>
          <w:color w:val="4A6B25"/>
          <w:sz w:val="20"/>
        </w:rPr>
        <w:t xml:space="preserve">2. </w:t>
      </w:r>
      <w:r>
        <w:rPr>
          <w:rFonts w:ascii="Calibri" w:hAnsi="Calibri"/>
          <w:b w:val="0"/>
          <w:color w:val="3A4A28"/>
          <w:sz w:val="20"/>
        </w:rPr>
        <w:t>Vietnam manufacturing subsidiary enables lower-cost Kyro quadruped production at scale, potentially improving gross margins from the 48% level and enabling competitive pricing against larger robotics competitors</w:t>
      </w:r>
    </w:p>
    <w:p>
      <w:pPr>
        <w:spacing w:before="40" w:after="40"/>
        <w:ind w:left="283"/>
      </w:pPr>
      <w:r>
        <w:rPr>
          <w:rFonts w:ascii="Calibri" w:hAnsi="Calibri"/>
          <w:b/>
          <w:color w:val="4A6B25"/>
          <w:sz w:val="20"/>
        </w:rPr>
        <w:t xml:space="preserve">3. </w:t>
      </w:r>
      <w:r>
        <w:rPr>
          <w:rFonts w:ascii="Calibri" w:hAnsi="Calibri"/>
          <w:b w:val="0"/>
          <w:color w:val="3A4A28"/>
          <w:sz w:val="20"/>
        </w:rPr>
        <w:t>AI robotics sector tailwinds as enterprise customers adopt autonomous inspection and security solutions, with Kyro targeting industrial and commercial applications worth billions annually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has declined 67% from $17.89M to $5.98M over three years as legacy YI camera business erodes — no evidence that robotics products will generate replacement revenue at sufficient scale or pace</w:t>
      </w:r>
    </w:p>
    <w:p>
      <w:pPr>
        <w:spacing w:before="40" w:after="40"/>
        <w:ind w:left="283"/>
      </w:pPr>
      <w:r>
        <w:rPr>
          <w:rFonts w:ascii="Calibri" w:hAnsi="Calibri"/>
          <w:b/>
          <w:color w:val="4A6B25"/>
          <w:sz w:val="20"/>
        </w:rPr>
        <w:t xml:space="preserve">2. </w:t>
      </w:r>
      <w:r>
        <w:rPr>
          <w:rFonts w:ascii="Calibri" w:hAnsi="Calibri"/>
          <w:b w:val="0"/>
          <w:color w:val="3A4A28"/>
          <w:sz w:val="20"/>
        </w:rPr>
        <w:t>Cash position of $6.6M plus $8M PIPE financing provides less than 12 months of runway at current burn rates, creating near-term dilution or insolvency risk if robotics commercialization stalls</w:t>
      </w:r>
    </w:p>
    <w:p>
      <w:pPr>
        <w:spacing w:before="40" w:after="40"/>
        <w:ind w:left="283"/>
      </w:pPr>
      <w:r>
        <w:rPr>
          <w:rFonts w:ascii="Calibri" w:hAnsi="Calibri"/>
          <w:b/>
          <w:color w:val="4A6B25"/>
          <w:sz w:val="20"/>
        </w:rPr>
        <w:t xml:space="preserve">3. </w:t>
      </w:r>
      <w:r>
        <w:rPr>
          <w:rFonts w:ascii="Calibri" w:hAnsi="Calibri"/>
          <w:b w:val="0"/>
          <w:color w:val="3A4A28"/>
          <w:sz w:val="20"/>
        </w:rPr>
        <w:t>Fails IOWN liquidity floor with $870K average daily dollar volume, and competes against Boston Dynamics, Unitree, and dozens of well-funded robotics companies with 10-100x more capital for R&amp;D and go-to-market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AMC Robotics builds AI-powered autonomous robots — the company IS an AI infrastructure play, meaning AI is the core enabler rather than a disruptive threat. The physical robotics component (hardware manufacturing, sensor integration, mechanical engineering) provides structural protection since AI software alone cannot replace physical robots for inspection, security, and material handling tasks [1][2]. However, the company scores 7 rather than 8-9 because it faces intense competition from vastly better-capitalized AI robotics companies (Boston Dynamics/Hyundai, Unitree, Ghost Robotics) that could leverage superior AI capabilities to dominate the market before AMC Robotics achieves commercial scale. AI Opportunity (1/1): The company's entire product line — Kyro quadruped robots, NovaArm material handling — is AI-driven, representing 100% AI revenue concentration. While current revenue is minimal ($5.37M TTM), every dollar is tied to AI-powered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AMC Robotics CES 2026 Product Showcase and Kyro Platform — QuiverQuant, GlobeNewswire, January 2026</w:t>
      </w:r>
    </w:p>
    <w:p>
      <w:pPr>
        <w:spacing w:before="20" w:after="20"/>
        <w:ind w:left="170"/>
      </w:pPr>
      <w:r>
        <w:rPr>
          <w:rFonts w:ascii="Calibri" w:hAnsi="Calibri"/>
          <w:b/>
          <w:color w:val="4A6B25"/>
          <w:sz w:val="15"/>
        </w:rPr>
        <w:t xml:space="preserve">2. </w:t>
      </w:r>
      <w:r>
        <w:rPr>
          <w:rFonts w:ascii="Calibri" w:hAnsi="Calibri"/>
          <w:b w:val="0"/>
          <w:color w:val="3A4A28"/>
          <w:sz w:val="17"/>
        </w:rPr>
        <w:t>AMC Robotics FY2025 Financial Results and 2026 Growth Strategy — GlobeNewswire, April 2026</w:t>
      </w:r>
    </w:p>
    <w:p>
      <w:pPr>
        <w:spacing w:before="20" w:after="20"/>
        <w:ind w:left="170"/>
      </w:pPr>
      <w:r>
        <w:rPr>
          <w:rFonts w:ascii="Calibri" w:hAnsi="Calibri"/>
          <w:b/>
          <w:color w:val="4A6B25"/>
          <w:sz w:val="15"/>
        </w:rPr>
        <w:t xml:space="preserve">3. </w:t>
      </w:r>
      <w:r>
        <w:rPr>
          <w:rFonts w:ascii="Calibri" w:hAnsi="Calibri"/>
          <w:b w:val="0"/>
          <w:color w:val="3A4A28"/>
          <w:sz w:val="17"/>
        </w:rPr>
        <w:t>AMC Robotics (AMCI) Key Statistics — StockAnalysis.com,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