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AMSC</w:t>
      </w:r>
      <w:r>
        <w:rPr>
          <w:rFonts w:ascii="Calibri" w:hAnsi="Calibri"/>
          <w:b/>
          <w:color w:val="1A2010"/>
          <w:sz w:val="40"/>
        </w:rPr>
        <w:t xml:space="preserve">  American Superconductor Corporation</w:t>
      </w:r>
    </w:p>
    <w:p>
      <w:pPr>
        <w:spacing w:after="120"/>
      </w:pPr>
      <w:r>
        <w:rPr>
          <w:rFonts w:ascii="Calibri" w:hAnsi="Calibri"/>
          <w:b/>
          <w:color w:val="6E8450"/>
          <w:sz w:val="18"/>
        </w:rPr>
        <w:t>GROWTH SLEEVE · 2026-08-08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Electrical Equipment &amp; Parts · NASDAQ · United States</w:t>
      </w:r>
    </w:p>
    <w:p>
      <w:pPr>
        <w:spacing w:after="80"/>
      </w:pPr>
      <w:r>
        <w:rPr>
          <w:rFonts w:ascii="Calibri" w:hAnsi="Calibri"/>
          <w:b w:val="0"/>
          <w:color w:val="3A4A28"/>
          <w:sz w:val="20"/>
        </w:rPr>
        <w:t>American Superconductor Corporation designs, develops, and sells megawatt-scale power resiliency solutions worldwide. The company operates through two segments: Grid (power electronics, superconductor cable systems, grid planning software) and Wind (electrical control systems for wind turbines). AMSC acquired Brazilian transformer maker Comtrafo for $162M in December 2025, expanding its product portfolio into large power and distribution transformers.</w:t>
      </w:r>
    </w:p>
    <w:p>
      <w:r>
        <w:rPr>
          <w:rFonts w:ascii="Calibri" w:hAnsi="Calibri"/>
          <w:b/>
          <w:color w:val="6E8450"/>
          <w:sz w:val="18"/>
        </w:rPr>
        <w:t>1,200 Employees · https://www.amsc.com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AMSC completed the $162M Comtrafo acquisition in December 2025, expanding into large power transformers and entering the Latin American market — a significant strategic expansion beyond its traditional superconductor and power electronics base [3][7]. The company has also pivoted its business mix from wind-dominated to grid-dominated revenue over the past five years. AI Deployment (0/2): AMSC does not deploy AI in its products; it manufactures physical power electronics, superconductor wire, and transformers. Microsoft has investigated AMSC's high-temperature superconductors for data center applications, validating the technology's relevance to AI infrastructure, but this is demand-side AI enablement, not AI deployment [4]. Market Share (1/2): AMSC holds niche leadership positions in superconductor cable systems and naval ship protection technology, though it competes with much larger electrical equipment manufacturers. Comtrafo adds transformer market share in Brazil. Product Pipeline (1/2): Superconductor cable technology for data centers is attracting attention from hyperscalers including Microsoft, and the Comtrafo integration expands the transformer product line, but specific next-gen product timelines beyond current offerings are not publicly detailed [4][7]. R&amp;D Intensity (1/1): AMSC is fundamentally a technology company with deep R&amp;D in superconductor materials, power electronics, and control systems — R&amp;D intensity is well above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AMSC's purpose — 'to power progress' with a focus on making the electrical grid 'smarter, cleaner, and more resilient' — is specific and thoughtful, connecting the company's technology to the larger challenge of grid modernization and clean energy transition [8]. This is not a generic corporate platitude but a genuinely differentiated purpose that shapes product development and market positioning. However, it hasn't been tested across the multi-decade consistency that earns a 4. Community Impact (0/2): No specific charitable programs, foundation activity, or community investment dollar amounts identified in public materials. Employee Retention (1/2): CEO Daniel McGahn has been with the company since 2006 (20 years) and CEO since 2011 (15 years), providing exceptional leadership continuity [4]. Employees describe the work as 'extremely fulfilling' with good technology and hybrid work schedules, though the organization is described as 'lean' and could use more corporate resources [5]. Insider Buying (0/2): Net insider selling of approximately $19M over the last two years, with $5.2M in recent sales including a CFO sale of 50,000 shares — consistent net selling rather than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AMSC delivered record FY2025 revenue of $299.2M (up 34% YoY), with Q1 FY2026 continuing at $94.1M (up 30% YoY), demonstrating sustained high-growth momentum [1][2]. The balance sheet is exceptionally clean with D/E of just 1% — virtually no debt [3]. Reported ROE of 35.56% and net profit margin of 44.73% are inflated by one-time tax benefits (Record Q3 profit boosted by tax benefit); operating margin of 5.90% is more representative of sustainable profitability [3]. Forward P/E of 32.32 reflects the normalization of earnings ahead and is elevated versus the 20 target. Revenue 5yr CAGR of approximately 25% far exceeds the 10% target, reflecting the company's transformation from a $95M revenue base to nearly $300M. PEG ratio excluded due to distortion from one-time earnings items.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AMSC demonstrates meaningful infinite game characteristics anchored by CEO McGahn's 15-year leadership and the company's remarkable survival of the Sinovel crisis. The company maintained its core identity in superconductor and power technology through near-bankruptcy and rebuilt into a growing, profitable enterprise. However, the company's competitive positioning language remains largely focused on market share and product superiority rather than a learning-oriented mindset, and the relatively thin management bench at a 'lean' organization creates succession and resilience concerns.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AMSC's purpose of 'powering progress' through smarter, cleaner, and more resilient grid infrastructure connects the company's technology to a genuine societal need — grid modernization for the clean energy transition [8]. This purpose has been validated through McGahn's 15-year tenure and the company's consistent investment in superconductor technology even during the near-fatal Sinovel crisis. The purpose shapes product development and market strategy. However, it hasn't yet reached the 'competitive advantage' level where the Just Cause itself differentiates in the way NVDA's 'accelerate computing' does.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McGahn's 20-year tenure at the company (15 as CEO) provides strong leadership continuity, and employee reviews describe the work as 'extremely fulfilling' with appreciation for technology leadership and hybrid work flexibility [5]. However, the organization is described as 'lean' and needing more corporate resources in IT and legal — a potential indicator that employees are stretched thin. The small employee base (~1,200) means there is limited institutional depth, and the company's survival-mode history may have created a culture of necessity rather than abundance.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or public statements. AMSC's competitive positioning focuses on its proprietary technology advantages — superconductor expertise, grid engineering capabilities — framed as moats and competitive advantages rather than as areas for learning from rivals. The company competes in niche markets where it positions itself as a technology leader, with language oriented toward 'winning' market segments rather than improving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AMSC has significantly evolved its business model — pivoting from a wind-dominated company to a grid-focused enterprise, and expanding into transformers through the Comtrafo acquisition [7]. The company adapted to the Sinovel crisis by rebuilding its entire revenue base around grid infrastructure. These are meaningful strategic pivots, but they represent incremental evolution within the same broad domain (power technology) rather than a transformative reinvention of the company's identity. The pivots were partially driven by external crisis rather than proactive visionary choice.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AMSC survived one of the most devastating corporate espionage events in modern history when Sinovel (China) stole the company's wind turbine IP around 2011, costing approximately $800M in revenue and nearly bankrupting the company [8]. Under McGahn's leadership, AMSC fought back through US courts (winning a $57.5M judgment), restructured the entire business, rebuilt from near-zero wind revenue, and pivoted to grid solutions. More recently, the $162M Comtrafo acquisition during a period of financial strength demonstrates continued strategic courage — investing aggressively to expand capabilities rather than hoarding cash after years of recovery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AMSC is riding a powerful secular tailwind as AI data center buildout, grid modernization, and clean energy infrastructure create unprecedented demand for its power electronics and superconductor technology. FY2025 revenue grew 34% to a record $299.2M, Q1 FY2026 continued at 30% growth ($94.1M), and total backlog exceeds $400M with 12-month backlog above $300M — representing approximately 40% YoY expansion [1][2]. The balance sheet is pristine (D/E 1%), the Comtrafo acquisition adds transformer manufacturing and Latin American market access, and Microsoft's active investigation of AMSC's superconductor cables for data centers could unlock a transformative new revenue stream [4][7]. CEO McGahn's 15-year track record of navigating crises and rebuilding the company provides proven leadership continuity.</w:t>
      </w:r>
    </w:p>
    <w:p>
      <w:pPr>
        <w:spacing w:after="120"/>
      </w:pPr>
      <w:r>
        <w:rPr>
          <w:rFonts w:ascii="Calibri" w:hAnsi="Calibri"/>
          <w:b w:val="0"/>
          <w:color w:val="3A4A28"/>
          <w:sz w:val="20"/>
        </w:rPr>
        <w:t>The primary concern is valuation sustainability relative to normalized earnings. The trailing P/E of 10.60 is distorted by one-time tax benefits — the forward P/E of 32.32 better reflects the company's normalized earnings power, meaning the stock is priced for continued high growth [3]. Operating margin of only 5.90% means the business generates thin profits on its revenue base; any revenue deceleration would disproportionately compress earnings. The $162M Comtrafo acquisition, while strategic, adds integration complexity in a foreign market during a period of rapid organic growth [7]. Net insider selling of $19M over two years suggests management may view current valuations as stretched. AMSC remains a small-cap company ($1.9B market cap) with limited product diversification and customer concentration risk — the loss of a major contract could materially impact revenue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and other hyperscalers adopting AMSC's high-temperature superconductor cable technology for data center power delivery, potentially creating a multi-billion-dollar addressable market expansion</w:t>
      </w:r>
    </w:p>
    <w:p>
      <w:pPr>
        <w:spacing w:before="40" w:after="40"/>
        <w:ind w:left="283"/>
      </w:pPr>
      <w:r>
        <w:rPr>
          <w:rFonts w:ascii="Calibri" w:hAnsi="Calibri"/>
          <w:b/>
          <w:color w:val="4A6B25"/>
          <w:sz w:val="20"/>
        </w:rPr>
        <w:t xml:space="preserve">2. </w:t>
      </w:r>
      <w:r>
        <w:rPr>
          <w:rFonts w:ascii="Calibri" w:hAnsi="Calibri"/>
          <w:b w:val="0"/>
          <w:color w:val="3A4A28"/>
          <w:sz w:val="20"/>
        </w:rPr>
        <w:t>Continued 30%+ revenue growth as total backlog exceeding $400M converts to revenue, driven by grid modernization, renewable interconnection, and AI data center power demand</w:t>
      </w:r>
    </w:p>
    <w:p>
      <w:pPr>
        <w:spacing w:before="40" w:after="40"/>
        <w:ind w:left="283"/>
      </w:pPr>
      <w:r>
        <w:rPr>
          <w:rFonts w:ascii="Calibri" w:hAnsi="Calibri"/>
          <w:b/>
          <w:color w:val="4A6B25"/>
          <w:sz w:val="20"/>
        </w:rPr>
        <w:t xml:space="preserve">3. </w:t>
      </w:r>
      <w:r>
        <w:rPr>
          <w:rFonts w:ascii="Calibri" w:hAnsi="Calibri"/>
          <w:b w:val="0"/>
          <w:color w:val="3A4A28"/>
          <w:sz w:val="20"/>
        </w:rPr>
        <w:t>Comtrafo integration generating cross-selling opportunities in Latin America and expanding AMSC's addressable market in large power and distribution transformers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of 5.90% means the company operates on thin profitability — any revenue miss or cost overrun would disproportionately compress earnings and potentially flip the company to losses on a normalized basis</w:t>
      </w:r>
    </w:p>
    <w:p>
      <w:pPr>
        <w:spacing w:before="40" w:after="40"/>
        <w:ind w:left="283"/>
      </w:pPr>
      <w:r>
        <w:rPr>
          <w:rFonts w:ascii="Calibri" w:hAnsi="Calibri"/>
          <w:b/>
          <w:color w:val="4A6B25"/>
          <w:sz w:val="20"/>
        </w:rPr>
        <w:t xml:space="preserve">2. </w:t>
      </w:r>
      <w:r>
        <w:rPr>
          <w:rFonts w:ascii="Calibri" w:hAnsi="Calibri"/>
          <w:b w:val="0"/>
          <w:color w:val="3A4A28"/>
          <w:sz w:val="20"/>
        </w:rPr>
        <w:t>Forward P/E of 32.32 prices in sustained 30%+ revenue growth — any deceleration from backlog conversion slowdowns, supply chain disruptions, or delayed data center buildouts could trigger significant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$19M over two years and small employee base (~1,200) create concerns about management conviction at current valuations and organizational resilience to execute across multiple growth vectors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AMSC manufactures physical power electronics, superconductor cable, transformers, and grid management systems — critical infrastructure that AI structurally cannot replace [1][8]. AI data center buildout is a direct demand driver for AMSC's products: hyperscalers like Microsoft are investigating AMSC's high-temperature superconductors for data center power delivery, and the explosive growth in AI compute is straining electrical grids in ways that increase demand for AMSC's grid resilience solutions [4]. The company is a beneficiary, not a victim, of AI infrastructure expansion. Naval ship protection systems add a defense-related demand stream equally immune to AI substitution. AI Opportunity (1/1): AMSC generates quantifiable revenue from AI-related infrastructure — its grid solutions, power electronics, and transformer products serve AI data center power needs. The 12-month backlog exceeding $300M and total backlog above $400M include significant AI-driven grid infrastructure demand [1][7]. Microsoft's active evaluation of AMSC's superconductor technology for data centers represents a potentially transformative commercial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Superconductor FY2025 Annual Results — Record Revenue $299.2M, 34% Growth, 40% Backlog Expansion,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American Superconductor Q1 FY2026 Earnings Call — Record Revenue $94.1M, 30% YoY Growth, 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AMSC Key Statistics, D/E 1%, ROE 35.56%, Forward PE 32.32,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American Superconductor CEO Puts AI Data-Center Growth in Perspective — Microsoft Superconductor Investigation, amsc.com, 2026</w:t>
      </w:r>
    </w:p>
    <w:p>
      <w:pPr>
        <w:spacing w:before="20" w:after="20"/>
        <w:ind w:left="170"/>
      </w:pPr>
      <w:r>
        <w:rPr>
          <w:rFonts w:ascii="Calibri" w:hAnsi="Calibri"/>
          <w:b/>
          <w:color w:val="4A6B25"/>
          <w:sz w:val="15"/>
        </w:rPr>
        <w:t xml:space="preserve">5. </w:t>
      </w:r>
      <w:r>
        <w:rPr>
          <w:rFonts w:ascii="Calibri" w:hAnsi="Calibri"/>
          <w:b w:val="0"/>
          <w:color w:val="3A4A28"/>
          <w:sz w:val="17"/>
        </w:rPr>
        <w:t>Glassdoor — American Superconductor Employee Reviews, Hybrid Work Culture, 'Lean' Organization,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AMSC Insider Transactions, Net Selling $19M Over 2 Years,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AMSC Comtrafo Acquisition — $162M for Brazilian Transformer Maker, December 2025, Investing.com</w:t>
      </w:r>
    </w:p>
    <w:p>
      <w:pPr>
        <w:spacing w:before="20" w:after="20"/>
        <w:ind w:left="170"/>
      </w:pPr>
      <w:r>
        <w:rPr>
          <w:rFonts w:ascii="Calibri" w:hAnsi="Calibri"/>
          <w:b/>
          <w:color w:val="4A6B25"/>
          <w:sz w:val="15"/>
        </w:rPr>
        <w:t xml:space="preserve">8. </w:t>
      </w:r>
      <w:r>
        <w:rPr>
          <w:rFonts w:ascii="Calibri" w:hAnsi="Calibri"/>
          <w:b w:val="0"/>
          <w:color w:val="3A4A28"/>
          <w:sz w:val="17"/>
        </w:rPr>
        <w:t>American Superconductor Company Website — Mission, Leadership Team, Purpose Statement, amsc.com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